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5579" w14:textId="77777777" w:rsidR="00A85CD7" w:rsidRDefault="00506982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НАЛОГ НА ДОХОДЫ:</w:t>
      </w:r>
      <w:bookmarkEnd w:id="0"/>
      <w:bookmarkEnd w:id="1"/>
    </w:p>
    <w:p w14:paraId="2EBECD36" w14:textId="6E08AFB1" w:rsidR="00A85CD7" w:rsidRDefault="00205449">
      <w:pPr>
        <w:pStyle w:val="50"/>
        <w:shd w:val="clear" w:color="auto" w:fill="auto"/>
        <w:spacing w:after="680" w:line="218" w:lineRule="auto"/>
        <w:rPr>
          <w:sz w:val="38"/>
          <w:szCs w:val="38"/>
        </w:rPr>
      </w:pPr>
      <w:proofErr w:type="spellStart"/>
      <w:r>
        <w:rPr>
          <w:w w:val="100"/>
          <w:sz w:val="38"/>
          <w:szCs w:val="38"/>
        </w:rPr>
        <w:t>и</w:t>
      </w:r>
      <w:r w:rsidR="00506982">
        <w:rPr>
          <w:w w:val="100"/>
          <w:sz w:val="38"/>
          <w:szCs w:val="38"/>
        </w:rPr>
        <w:t>новации</w:t>
      </w:r>
      <w:proofErr w:type="spellEnd"/>
      <w:r w:rsidR="00506982">
        <w:rPr>
          <w:w w:val="100"/>
          <w:sz w:val="38"/>
          <w:szCs w:val="38"/>
        </w:rPr>
        <w:t xml:space="preserve"> 2021 года</w:t>
      </w:r>
    </w:p>
    <w:p w14:paraId="68D36AAE" w14:textId="77777777" w:rsidR="00A85CD7" w:rsidRDefault="00506982">
      <w:pPr>
        <w:pStyle w:val="30"/>
        <w:shd w:val="clear" w:color="auto" w:fill="auto"/>
        <w:jc w:val="both"/>
      </w:pPr>
      <w:r>
        <w:t>С 1 января 2021 г. вступили в силу изменения в Налоговый кодекс Республики Беларусь (далее - НК), касающиеся уточ</w:t>
      </w:r>
      <w:r>
        <w:softHyphen/>
        <w:t>нения определения объектов налогообложения налогом на доходы иностранных организаций, не осуществляющих дея</w:t>
      </w:r>
      <w:r>
        <w:softHyphen/>
        <w:t>тельность в Республике Беларусь через постоянное предста</w:t>
      </w:r>
      <w:r>
        <w:softHyphen/>
        <w:t>вительство (далее соответственно - налог на доходы; ино</w:t>
      </w:r>
      <w:r>
        <w:softHyphen/>
        <w:t>странные организации), расчета налоговой базы налога на доходы по некоторым видам доходов, а также установления пониженных ставок налога на доходы.</w:t>
      </w:r>
    </w:p>
    <w:p w14:paraId="3A89C169" w14:textId="5E490F16" w:rsidR="00A85CD7" w:rsidRDefault="00A85CD7">
      <w:pPr>
        <w:jc w:val="center"/>
        <w:rPr>
          <w:sz w:val="2"/>
          <w:szCs w:val="2"/>
        </w:rPr>
      </w:pPr>
    </w:p>
    <w:p w14:paraId="51CDA87E" w14:textId="77777777" w:rsidR="00A85CD7" w:rsidRDefault="00A85CD7">
      <w:pPr>
        <w:spacing w:after="459" w:line="1" w:lineRule="exact"/>
      </w:pPr>
    </w:p>
    <w:p w14:paraId="59C5D153" w14:textId="77777777" w:rsidR="00A85CD7" w:rsidRDefault="00506982">
      <w:pPr>
        <w:pStyle w:val="32"/>
        <w:keepNext/>
        <w:keepLines/>
        <w:pBdr>
          <w:bottom w:val="single" w:sz="4" w:space="0" w:color="auto"/>
        </w:pBdr>
        <w:shd w:val="clear" w:color="auto" w:fill="auto"/>
        <w:spacing w:after="200"/>
        <w:ind w:left="2900"/>
      </w:pPr>
      <w:bookmarkStart w:id="2" w:name="bookmark2"/>
      <w:bookmarkStart w:id="3" w:name="bookmark3"/>
      <w:r>
        <w:t>ГРУЗОПЕРЕВОЗКИ</w:t>
      </w:r>
      <w:bookmarkEnd w:id="2"/>
      <w:bookmarkEnd w:id="3"/>
    </w:p>
    <w:p w14:paraId="14FC380B" w14:textId="38083F4B" w:rsidR="00A85CD7" w:rsidRDefault="00205449" w:rsidP="00205449">
      <w:pPr>
        <w:pStyle w:val="11"/>
        <w:shd w:val="clear" w:color="auto" w:fill="auto"/>
        <w:spacing w:line="288" w:lineRule="auto"/>
        <w:ind w:firstLine="0"/>
        <w:jc w:val="both"/>
      </w:pPr>
      <w:r>
        <w:t xml:space="preserve">        </w:t>
      </w:r>
      <w:r w:rsidR="00506982">
        <w:t>Для субъектов хозяйствования, занятых транспортной дея</w:t>
      </w:r>
      <w:r w:rsidR="00506982">
        <w:softHyphen/>
        <w:t xml:space="preserve">тельностью, актуальны положения части третьей подпункта 1.1 и подпункта 1.12.4 пункта 1 статьи 189 НК. В них с 1 января 2021 г. закреплено, что доходы иностранных организаций от оказания услуг </w:t>
      </w:r>
      <w:r w:rsidR="00506982">
        <w:rPr>
          <w:b/>
          <w:bCs/>
        </w:rPr>
        <w:t xml:space="preserve">по предоставлению груза и документов в таможенные органы, </w:t>
      </w:r>
      <w:r w:rsidR="00506982">
        <w:t xml:space="preserve">а также </w:t>
      </w:r>
      <w:r w:rsidR="00506982">
        <w:rPr>
          <w:b/>
          <w:bCs/>
        </w:rPr>
        <w:t>плата за проезд по платным дорогам ино</w:t>
      </w:r>
      <w:r w:rsidR="00506982">
        <w:rPr>
          <w:b/>
          <w:bCs/>
        </w:rPr>
        <w:softHyphen/>
        <w:t xml:space="preserve">странных государств не признаются объектом </w:t>
      </w:r>
      <w:r w:rsidR="00506982">
        <w:t>налогообло</w:t>
      </w:r>
      <w:r w:rsidR="00506982">
        <w:softHyphen/>
        <w:t>жения налогом на доходы.</w:t>
      </w:r>
    </w:p>
    <w:p w14:paraId="2AFEBE23" w14:textId="77777777" w:rsidR="00A85CD7" w:rsidRDefault="00506982" w:rsidP="00205449">
      <w:pPr>
        <w:pStyle w:val="11"/>
        <w:shd w:val="clear" w:color="auto" w:fill="auto"/>
        <w:spacing w:line="288" w:lineRule="auto"/>
        <w:jc w:val="both"/>
      </w:pPr>
      <w:r>
        <w:t xml:space="preserve">Следует отметить, что указанные исключения применяются </w:t>
      </w:r>
      <w:r>
        <w:rPr>
          <w:b/>
          <w:bCs/>
        </w:rPr>
        <w:t xml:space="preserve">независимо от </w:t>
      </w:r>
      <w:r>
        <w:t>формы и инструмента осуществления расчетов (оплаты) в пользу иностранной организации (в том числе с помо</w:t>
      </w:r>
      <w:r>
        <w:softHyphen/>
        <w:t>щью корпоративной банковской платежной карточки).</w:t>
      </w:r>
    </w:p>
    <w:p w14:paraId="09D10AC7" w14:textId="55E37552" w:rsidR="00A85CD7" w:rsidRDefault="00506982" w:rsidP="00205449">
      <w:pPr>
        <w:pStyle w:val="11"/>
        <w:shd w:val="clear" w:color="auto" w:fill="auto"/>
        <w:spacing w:line="288" w:lineRule="auto"/>
        <w:jc w:val="both"/>
      </w:pPr>
      <w:r>
        <w:t>С учетом изложенного за налоговые периоды с 1 января 2021 г.:</w:t>
      </w:r>
    </w:p>
    <w:p w14:paraId="1226CB32" w14:textId="77777777" w:rsidR="00205449" w:rsidRDefault="00506982" w:rsidP="00205449">
      <w:pPr>
        <w:pStyle w:val="11"/>
        <w:shd w:val="clear" w:color="auto" w:fill="auto"/>
        <w:spacing w:line="288" w:lineRule="auto"/>
        <w:ind w:firstLine="0"/>
        <w:jc w:val="both"/>
      </w:pPr>
      <w:r>
        <w:t>если услуги по предоставлению груза и документов в тамо</w:t>
      </w:r>
      <w:r>
        <w:softHyphen/>
        <w:t xml:space="preserve">женные органы оказываются по </w:t>
      </w:r>
      <w:r>
        <w:rPr>
          <w:b/>
          <w:bCs/>
        </w:rPr>
        <w:t>договору транспортной экс</w:t>
      </w:r>
      <w:r w:rsidR="00205449">
        <w:rPr>
          <w:b/>
          <w:bCs/>
        </w:rPr>
        <w:t xml:space="preserve">педиции </w:t>
      </w:r>
      <w:r w:rsidR="00205449">
        <w:t xml:space="preserve">(ст. 8 Закона Республики Беларусь от 13 июня 2006 г. № 124-3 «О </w:t>
      </w:r>
      <w:proofErr w:type="spellStart"/>
      <w:r w:rsidR="00205449">
        <w:t>транспортно</w:t>
      </w:r>
      <w:r w:rsidR="00205449">
        <w:softHyphen/>
        <w:t>экспедиционной</w:t>
      </w:r>
      <w:proofErr w:type="spellEnd"/>
      <w:r w:rsidR="00205449">
        <w:t xml:space="preserve"> деятельности») иностран</w:t>
      </w:r>
      <w:r w:rsidR="00205449">
        <w:softHyphen/>
        <w:t>ной организацией и их стоимость возможно определить на основании оформленных до</w:t>
      </w:r>
      <w:r w:rsidR="00205449">
        <w:softHyphen/>
        <w:t>кументов, то доходы иностранной организа</w:t>
      </w:r>
      <w:r w:rsidR="00205449">
        <w:softHyphen/>
        <w:t>ции от их оказания не признаются объектом налогообложения налогом на доходы;</w:t>
      </w:r>
    </w:p>
    <w:p w14:paraId="33972167" w14:textId="6864D360" w:rsidR="00205449" w:rsidRDefault="00205449" w:rsidP="00205449">
      <w:pPr>
        <w:pStyle w:val="11"/>
        <w:shd w:val="clear" w:color="auto" w:fill="auto"/>
        <w:spacing w:line="288" w:lineRule="auto"/>
        <w:ind w:firstLine="0"/>
        <w:jc w:val="both"/>
        <w:sectPr w:rsidR="00205449">
          <w:pgSz w:w="12240" w:h="15840"/>
          <w:pgMar w:top="823" w:right="1639" w:bottom="823" w:left="1068" w:header="395" w:footer="395" w:gutter="0"/>
          <w:pgNumType w:start="1"/>
          <w:cols w:space="720"/>
          <w:noEndnote/>
          <w:docGrid w:linePitch="360"/>
        </w:sectPr>
      </w:pPr>
      <w:r>
        <w:t>если услуги по предоставлению груза и документов в таможенные органы оказы</w:t>
      </w:r>
      <w:r>
        <w:softHyphen/>
        <w:t xml:space="preserve">ваются </w:t>
      </w:r>
      <w:r>
        <w:rPr>
          <w:b/>
          <w:bCs/>
        </w:rPr>
        <w:t>таможенным брокером (тамо</w:t>
      </w:r>
      <w:r>
        <w:rPr>
          <w:b/>
          <w:bCs/>
        </w:rPr>
        <w:softHyphen/>
        <w:t>женным агентом, таможенным предста</w:t>
      </w:r>
      <w:r>
        <w:rPr>
          <w:b/>
          <w:bCs/>
        </w:rPr>
        <w:softHyphen/>
        <w:t xml:space="preserve">вителем) </w:t>
      </w:r>
      <w:r>
        <w:t>(далее — таможенный агент), доходы от их оказания также не призна</w:t>
      </w:r>
      <w:r>
        <w:softHyphen/>
        <w:t>ются объектом налогообложения налогом на доход</w:t>
      </w:r>
    </w:p>
    <w:p w14:paraId="57790ED8" w14:textId="4DA7AC20" w:rsidR="00A85CD7" w:rsidRDefault="00A85CD7">
      <w:pPr>
        <w:spacing w:line="1" w:lineRule="exact"/>
        <w:sectPr w:rsidR="00A85CD7">
          <w:pgSz w:w="12240" w:h="15840"/>
          <w:pgMar w:top="863" w:right="1072" w:bottom="1769" w:left="1634" w:header="435" w:footer="1341" w:gutter="0"/>
          <w:cols w:space="720"/>
          <w:noEndnote/>
          <w:docGrid w:linePitch="360"/>
        </w:sectPr>
      </w:pPr>
    </w:p>
    <w:p w14:paraId="2F74872B" w14:textId="77777777" w:rsidR="00A85CD7" w:rsidRDefault="00A85CD7">
      <w:pPr>
        <w:spacing w:line="1" w:lineRule="exact"/>
        <w:sectPr w:rsidR="00A85CD7">
          <w:type w:val="continuous"/>
          <w:pgSz w:w="12240" w:h="15840"/>
          <w:pgMar w:top="863" w:right="0" w:bottom="1769" w:left="0" w:header="0" w:footer="3" w:gutter="0"/>
          <w:cols w:space="720"/>
          <w:noEndnote/>
          <w:docGrid w:linePitch="360"/>
        </w:sectPr>
      </w:pPr>
    </w:p>
    <w:p w14:paraId="619CFF96" w14:textId="6C07FDB2" w:rsidR="00A85CD7" w:rsidRDefault="00A85CD7" w:rsidP="00205449">
      <w:pPr>
        <w:pStyle w:val="22"/>
        <w:shd w:val="clear" w:color="auto" w:fill="auto"/>
        <w:spacing w:after="80"/>
        <w:ind w:left="0" w:firstLine="0"/>
        <w:jc w:val="both"/>
        <w:sectPr w:rsidR="00A85CD7">
          <w:type w:val="continuous"/>
          <w:pgSz w:w="12240" w:h="15840"/>
          <w:pgMar w:top="863" w:right="1072" w:bottom="863" w:left="1634" w:header="0" w:footer="3" w:gutter="0"/>
          <w:cols w:space="720"/>
          <w:noEndnote/>
          <w:docGrid w:linePitch="360"/>
        </w:sectPr>
      </w:pPr>
    </w:p>
    <w:p w14:paraId="61C4E386" w14:textId="77777777" w:rsidR="00A85CD7" w:rsidRDefault="00A85CD7">
      <w:pPr>
        <w:spacing w:line="1" w:lineRule="exact"/>
        <w:sectPr w:rsidR="00A85CD7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760" w:right="0" w:bottom="1760" w:left="0" w:header="0" w:footer="3" w:gutter="0"/>
          <w:cols w:space="720"/>
          <w:noEndnote/>
          <w:docGrid w:linePitch="360"/>
        </w:sectPr>
      </w:pPr>
    </w:p>
    <w:p w14:paraId="5A7FBB94" w14:textId="099C96C5" w:rsidR="00A85CD7" w:rsidRDefault="00A85CD7">
      <w:pPr>
        <w:pStyle w:val="22"/>
        <w:shd w:val="clear" w:color="auto" w:fill="auto"/>
        <w:ind w:firstLine="280"/>
        <w:jc w:val="both"/>
        <w:sectPr w:rsidR="00A85CD7" w:rsidSect="00205449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284" w:right="1068" w:bottom="1689" w:left="1630" w:header="0" w:footer="3" w:gutter="0"/>
          <w:cols w:space="720"/>
          <w:noEndnote/>
          <w:docGrid w:linePitch="360"/>
        </w:sectPr>
      </w:pPr>
    </w:p>
    <w:p w14:paraId="714C13F9" w14:textId="77777777" w:rsidR="00A85CD7" w:rsidRDefault="00506982">
      <w:pPr>
        <w:pStyle w:val="32"/>
        <w:keepNext/>
        <w:keepLines/>
        <w:pBdr>
          <w:bottom w:val="single" w:sz="4" w:space="0" w:color="auto"/>
        </w:pBdr>
        <w:shd w:val="clear" w:color="auto" w:fill="auto"/>
        <w:spacing w:after="360"/>
        <w:jc w:val="both"/>
      </w:pPr>
      <w:bookmarkStart w:id="4" w:name="bookmark20"/>
      <w:bookmarkStart w:id="5" w:name="bookmark21"/>
      <w:r>
        <w:t>ВОЗВРАТ ПРЕДОПЛАТЫ</w:t>
      </w:r>
      <w:bookmarkEnd w:id="4"/>
      <w:bookmarkEnd w:id="5"/>
    </w:p>
    <w:p w14:paraId="0EA7374A" w14:textId="77777777" w:rsidR="00A85CD7" w:rsidRDefault="00506982">
      <w:pPr>
        <w:pStyle w:val="11"/>
        <w:shd w:val="clear" w:color="auto" w:fill="auto"/>
        <w:spacing w:line="295" w:lineRule="auto"/>
        <w:jc w:val="both"/>
      </w:pPr>
      <w:r>
        <w:t>С 1 января 2021 г. статья 193 НК дополне</w:t>
      </w:r>
      <w:r>
        <w:softHyphen/>
        <w:t>на пунктом 9, который в условиях возврата предоплаты иностранной организацией, на</w:t>
      </w:r>
      <w:r>
        <w:softHyphen/>
        <w:t>пример, за не выполненные ею работы, не оказанные ею услуги, исключает возникно</w:t>
      </w:r>
      <w:r>
        <w:softHyphen/>
        <w:t>вение налоговой базы налога на доходы:</w:t>
      </w:r>
    </w:p>
    <w:p w14:paraId="4000C0DD" w14:textId="77777777" w:rsidR="00A85CD7" w:rsidRDefault="00506982">
      <w:pPr>
        <w:pStyle w:val="11"/>
        <w:shd w:val="clear" w:color="auto" w:fill="auto"/>
        <w:spacing w:line="295" w:lineRule="auto"/>
        <w:ind w:left="300" w:firstLine="280"/>
        <w:jc w:val="both"/>
      </w:pPr>
      <w:r>
        <w:t>«В налоговую декларацию (расчет) по налогу на доходы не включается сумма предварительной оплаты на дату ее осу</w:t>
      </w:r>
      <w:r>
        <w:softHyphen/>
        <w:t>ществления, отражения в бухгалтерском учете (но не позднее даты, когда такое от</w:t>
      </w:r>
      <w:r>
        <w:softHyphen/>
        <w:t>ражение должно быть произведено в со</w:t>
      </w:r>
      <w:r>
        <w:softHyphen/>
        <w:t xml:space="preserve">ответствии с законодательством) факта ее выплаты, </w:t>
      </w:r>
      <w:r>
        <w:rPr>
          <w:b/>
          <w:bCs/>
        </w:rPr>
        <w:t xml:space="preserve">если она возвращена </w:t>
      </w:r>
      <w:r>
        <w:t>ино</w:t>
      </w:r>
      <w:r>
        <w:softHyphen/>
        <w:t>странной организацией до установлен</w:t>
      </w:r>
      <w:r>
        <w:softHyphen/>
        <w:t>ного законодательством срока представ</w:t>
      </w:r>
      <w:r>
        <w:softHyphen/>
        <w:t>ления налоговой декларации (расчета) за налоговый период, в котором такая пред</w:t>
      </w:r>
      <w:r>
        <w:softHyphen/>
        <w:t>варительная оплата осуществлена».</w:t>
      </w:r>
    </w:p>
    <w:p w14:paraId="77F3B3DA" w14:textId="77777777" w:rsidR="00A85CD7" w:rsidRDefault="00506982">
      <w:pPr>
        <w:pStyle w:val="11"/>
        <w:shd w:val="clear" w:color="auto" w:fill="auto"/>
        <w:spacing w:after="300" w:line="295" w:lineRule="auto"/>
        <w:jc w:val="both"/>
      </w:pPr>
      <w:r>
        <w:t>Пункт 9 статьи 193 НК применяется к до</w:t>
      </w:r>
      <w:r>
        <w:softHyphen/>
        <w:t>ходам, приходящимся согласно нормам ста</w:t>
      </w:r>
      <w:r>
        <w:softHyphen/>
        <w:t>тьи 191 НК на налоговые периоды с 1 января 2021 г.</w:t>
      </w:r>
    </w:p>
    <w:p w14:paraId="5B479CAB" w14:textId="77777777" w:rsidR="00A85CD7" w:rsidRDefault="00506982">
      <w:pPr>
        <w:pStyle w:val="32"/>
        <w:keepNext/>
        <w:keepLines/>
        <w:pBdr>
          <w:bottom w:val="single" w:sz="4" w:space="0" w:color="auto"/>
        </w:pBdr>
        <w:shd w:val="clear" w:color="auto" w:fill="auto"/>
        <w:spacing w:after="360"/>
        <w:jc w:val="both"/>
      </w:pPr>
      <w:bookmarkStart w:id="6" w:name="bookmark22"/>
      <w:bookmarkStart w:id="7" w:name="bookmark23"/>
      <w:r>
        <w:t>ВЫХОД УЧАСТНИКА</w:t>
      </w:r>
      <w:bookmarkEnd w:id="6"/>
      <w:bookmarkEnd w:id="7"/>
    </w:p>
    <w:p w14:paraId="65522A4E" w14:textId="77777777" w:rsidR="00A85CD7" w:rsidRDefault="00506982">
      <w:pPr>
        <w:pStyle w:val="11"/>
        <w:shd w:val="clear" w:color="auto" w:fill="auto"/>
        <w:spacing w:line="295" w:lineRule="auto"/>
        <w:jc w:val="both"/>
      </w:pPr>
      <w:r>
        <w:t xml:space="preserve">Статьей 103 Закона Республики Беларусь от 9 декабря 1992 г. № </w:t>
      </w:r>
      <w:r w:rsidRPr="00506982">
        <w:rPr>
          <w:lang w:eastAsia="en-US" w:bidi="en-US"/>
        </w:rPr>
        <w:t>2020-</w:t>
      </w:r>
      <w:r>
        <w:rPr>
          <w:lang w:val="en-US" w:eastAsia="en-US" w:bidi="en-US"/>
        </w:rPr>
        <w:t>XII</w:t>
      </w:r>
      <w:r w:rsidRPr="00506982">
        <w:rPr>
          <w:lang w:eastAsia="en-US" w:bidi="en-US"/>
        </w:rPr>
        <w:t xml:space="preserve"> </w:t>
      </w:r>
      <w:r>
        <w:t>«О хозяйст</w:t>
      </w:r>
      <w:r>
        <w:softHyphen/>
        <w:t>венных обществах» предусмотрено, что в случае выхода (исключения) участника об</w:t>
      </w:r>
      <w:r>
        <w:softHyphen/>
        <w:t xml:space="preserve">щества с ограниченной ответственностью доля этого участника </w:t>
      </w:r>
      <w:r>
        <w:rPr>
          <w:b/>
          <w:bCs/>
        </w:rPr>
        <w:t xml:space="preserve">переходит к самому обществу </w:t>
      </w:r>
      <w:r>
        <w:t>с момента его выхода (исключе</w:t>
      </w:r>
      <w:r>
        <w:softHyphen/>
        <w:t>ния) из него, а вышедшему (исключенному) участнику выплачиваются действительная стоимость его доли в уставном фонде об</w:t>
      </w:r>
      <w:r>
        <w:softHyphen/>
        <w:t>щества с ограниченной ответственностью, а также приходящаяся на его долю часть прибыли, полученная этим обществом с мо</w:t>
      </w:r>
      <w:r>
        <w:softHyphen/>
        <w:t>мента выбытия этого участника до момента расчета.</w:t>
      </w:r>
    </w:p>
    <w:p w14:paraId="1C2DD88A" w14:textId="77777777" w:rsidR="00A85CD7" w:rsidRDefault="00506982">
      <w:pPr>
        <w:pStyle w:val="11"/>
        <w:shd w:val="clear" w:color="auto" w:fill="auto"/>
        <w:spacing w:line="293" w:lineRule="auto"/>
        <w:jc w:val="both"/>
      </w:pPr>
      <w:r>
        <w:t>Соответственно:</w:t>
      </w:r>
    </w:p>
    <w:p w14:paraId="25D8F6AF" w14:textId="77777777" w:rsidR="00A85CD7" w:rsidRDefault="00506982">
      <w:pPr>
        <w:pStyle w:val="11"/>
        <w:numPr>
          <w:ilvl w:val="0"/>
          <w:numId w:val="1"/>
        </w:numPr>
        <w:shd w:val="clear" w:color="auto" w:fill="auto"/>
        <w:tabs>
          <w:tab w:val="left" w:pos="601"/>
        </w:tabs>
        <w:spacing w:line="293" w:lineRule="auto"/>
        <w:jc w:val="both"/>
      </w:pPr>
      <w:r>
        <w:t>доходы от отчуждения долей в уставном фонде (паев, акций) организаций, находя</w:t>
      </w:r>
      <w:r>
        <w:softHyphen/>
        <w:t>щихся на территории Республики Беларусь, либо их части, включая доходы, возникаю</w:t>
      </w:r>
      <w:r>
        <w:softHyphen/>
        <w:t xml:space="preserve">щие </w:t>
      </w:r>
      <w:r>
        <w:rPr>
          <w:b/>
          <w:bCs/>
        </w:rPr>
        <w:t xml:space="preserve">при выходе (исключении) </w:t>
      </w:r>
      <w:r>
        <w:t xml:space="preserve">из такой организации, признаются </w:t>
      </w:r>
      <w:r>
        <w:t>объектом налого</w:t>
      </w:r>
      <w:r>
        <w:softHyphen/>
        <w:t>обложения налогом на доходы (подп. 1.11.4 п. 1 ст. 189 НК) и подлежат отражению в де</w:t>
      </w:r>
      <w:r>
        <w:softHyphen/>
        <w:t>кларации. Налоговым агентом выступает об</w:t>
      </w:r>
      <w:r>
        <w:softHyphen/>
        <w:t>щество, к которому переходит доля;</w:t>
      </w:r>
    </w:p>
    <w:p w14:paraId="0F7C552B" w14:textId="77777777" w:rsidR="00A85CD7" w:rsidRDefault="00506982">
      <w:pPr>
        <w:pStyle w:val="11"/>
        <w:numPr>
          <w:ilvl w:val="0"/>
          <w:numId w:val="1"/>
        </w:numPr>
        <w:shd w:val="clear" w:color="auto" w:fill="auto"/>
        <w:tabs>
          <w:tab w:val="left" w:pos="606"/>
        </w:tabs>
        <w:spacing w:line="293" w:lineRule="auto"/>
        <w:jc w:val="both"/>
      </w:pPr>
      <w:r>
        <w:t>приходящаяся на долю вышедшего (исключенного) участника хозяйственного общества часть прибыли, остающейся после налогообложения, полученная этим обще</w:t>
      </w:r>
      <w:r>
        <w:softHyphen/>
        <w:t>ством с момента выхода (исключения) этого участника до момента расчета с ним, при</w:t>
      </w:r>
      <w:r>
        <w:softHyphen/>
        <w:t>равнивается с 1 января 2021 г. к дивидендам (подп. 2.4 п. 2 ст. 13 НК) и признается объек</w:t>
      </w:r>
      <w:r>
        <w:softHyphen/>
        <w:t>том налогообложения налогом на доходы со</w:t>
      </w:r>
      <w:r>
        <w:softHyphen/>
        <w:t>гласно подпункту 1.4 пункта 1 статьи 189 НК.</w:t>
      </w:r>
    </w:p>
    <w:p w14:paraId="2FDC11F0" w14:textId="77777777" w:rsidR="00A85CD7" w:rsidRDefault="00506982">
      <w:pPr>
        <w:pStyle w:val="11"/>
        <w:shd w:val="clear" w:color="auto" w:fill="auto"/>
        <w:spacing w:after="320" w:line="293" w:lineRule="auto"/>
        <w:jc w:val="both"/>
      </w:pPr>
      <w:r>
        <w:t>Ставка налога на доходы по дивидендам и приравненным к ним доходам установлена подпунктом 1.4 пункта 1 статьи 192 НК в раз</w:t>
      </w:r>
      <w:r>
        <w:softHyphen/>
        <w:t>мере 12 %. К таким доходам применяются (при представлении подтверждения посто</w:t>
      </w:r>
      <w:r>
        <w:softHyphen/>
        <w:t>янного местонахождения нерезидента) пре</w:t>
      </w:r>
      <w:r>
        <w:softHyphen/>
        <w:t>ференции, предусмотренные положениями статьи «Дивиденды» международных догово</w:t>
      </w:r>
      <w:r>
        <w:softHyphen/>
        <w:t>ров (например, если вышедший участник является налоговым резидентом Соединен</w:t>
      </w:r>
      <w:r>
        <w:softHyphen/>
        <w:t>ного Королевства Великобритании и Север</w:t>
      </w:r>
      <w:r>
        <w:softHyphen/>
        <w:t>ной Ирландии — п. 2 ст. 10 Конвенции меж</w:t>
      </w:r>
      <w:r>
        <w:softHyphen/>
        <w:t>ду Правительством Республики Беларусь и Правительством Соединенного Королевства Великобритании и Северной Ирландии об устранении двойного налогообложения в от</w:t>
      </w:r>
      <w:r>
        <w:softHyphen/>
        <w:t>ношении налогов на доходы и капитал и пре</w:t>
      </w:r>
      <w:r>
        <w:softHyphen/>
        <w:t>дотвращении уклонения от уплаты налогов от 26 сентября 2017 г.; далее — Конвенция с Великобританией).</w:t>
      </w:r>
    </w:p>
    <w:p w14:paraId="28A8EA52" w14:textId="77777777" w:rsidR="00A85CD7" w:rsidRDefault="00506982">
      <w:pPr>
        <w:pStyle w:val="32"/>
        <w:keepNext/>
        <w:keepLines/>
        <w:pBdr>
          <w:bottom w:val="single" w:sz="4" w:space="0" w:color="auto"/>
        </w:pBdr>
        <w:shd w:val="clear" w:color="auto" w:fill="auto"/>
        <w:spacing w:after="320"/>
        <w:jc w:val="both"/>
      </w:pPr>
      <w:bookmarkStart w:id="8" w:name="bookmark24"/>
      <w:bookmarkStart w:id="9" w:name="bookmark25"/>
      <w:r>
        <w:t>ПРОДАЖА НЕДВИЖИМОСТИ</w:t>
      </w:r>
      <w:bookmarkEnd w:id="8"/>
      <w:bookmarkEnd w:id="9"/>
    </w:p>
    <w:p w14:paraId="7332263A" w14:textId="77777777" w:rsidR="00A85CD7" w:rsidRDefault="00506982">
      <w:pPr>
        <w:pStyle w:val="11"/>
        <w:shd w:val="clear" w:color="auto" w:fill="auto"/>
        <w:ind w:firstLine="320"/>
        <w:jc w:val="both"/>
      </w:pPr>
      <w:r>
        <w:t>Расчет налоговой базы налога на до</w:t>
      </w:r>
      <w:r>
        <w:softHyphen/>
        <w:t>ходы, возникающие с 1 января 2021 г. от отчуждения недвижимого имущества, на</w:t>
      </w:r>
      <w:r>
        <w:softHyphen/>
        <w:t>ходящегося на территории Республики Бе</w:t>
      </w:r>
      <w:r>
        <w:softHyphen/>
        <w:t xml:space="preserve">ларусь, упрощен и согласно подпункту 1.1.4 пункта 1 статьи 190 НК осуществляется </w:t>
      </w:r>
      <w:r>
        <w:rPr>
          <w:b/>
          <w:bCs/>
        </w:rPr>
        <w:t xml:space="preserve">без учета амортизационных отчислений: </w:t>
      </w:r>
      <w:r>
        <w:t>при определении налоговой базы налога на доходы вычитается сумма затрат, поне</w:t>
      </w:r>
      <w:r>
        <w:softHyphen/>
        <w:t>сенных на приобретение, строительство недвижимого имущества, в порядке, уста</w:t>
      </w:r>
      <w:r>
        <w:softHyphen/>
        <w:t>новленном подпунктом 1.1.4 пункта 1 ста</w:t>
      </w:r>
      <w:r>
        <w:softHyphen/>
        <w:t>тьи 190 НК.</w:t>
      </w:r>
    </w:p>
    <w:p w14:paraId="65F16220" w14:textId="1D8603BF" w:rsidR="00A85CD7" w:rsidRDefault="00A85CD7" w:rsidP="00205449">
      <w:pPr>
        <w:pStyle w:val="11"/>
        <w:shd w:val="clear" w:color="auto" w:fill="auto"/>
        <w:spacing w:line="295" w:lineRule="auto"/>
        <w:jc w:val="both"/>
        <w:sectPr w:rsidR="00A85CD7" w:rsidSect="00205449">
          <w:type w:val="continuous"/>
          <w:pgSz w:w="12240" w:h="15840"/>
          <w:pgMar w:top="1062" w:right="1361" w:bottom="36" w:left="1337" w:header="0" w:footer="3" w:gutter="0"/>
          <w:cols w:num="2" w:space="326"/>
          <w:noEndnote/>
          <w:docGrid w:linePitch="360"/>
        </w:sectPr>
      </w:pPr>
      <w:bookmarkStart w:id="10" w:name="_GoBack"/>
      <w:bookmarkEnd w:id="10"/>
    </w:p>
    <w:p w14:paraId="6DA9011B" w14:textId="77777777" w:rsidR="00A85CD7" w:rsidRDefault="00A85CD7">
      <w:pPr>
        <w:spacing w:line="1" w:lineRule="exact"/>
        <w:sectPr w:rsidR="00A85CD7">
          <w:type w:val="continuous"/>
          <w:pgSz w:w="12240" w:h="15840"/>
          <w:pgMar w:top="1788" w:right="0" w:bottom="1884" w:left="0" w:header="0" w:footer="3" w:gutter="0"/>
          <w:cols w:space="720"/>
          <w:noEndnote/>
          <w:docGrid w:linePitch="360"/>
        </w:sectPr>
      </w:pPr>
    </w:p>
    <w:p w14:paraId="72E537A7" w14:textId="77777777" w:rsidR="00A85CD7" w:rsidRDefault="00A85CD7">
      <w:pPr>
        <w:rPr>
          <w:sz w:val="2"/>
          <w:szCs w:val="2"/>
        </w:rPr>
        <w:sectPr w:rsidR="00A85CD7">
          <w:type w:val="continuous"/>
          <w:pgSz w:w="12240" w:h="15840"/>
          <w:pgMar w:top="1788" w:right="1658" w:bottom="1788" w:left="1058" w:header="0" w:footer="3" w:gutter="0"/>
          <w:cols w:num="2" w:space="326"/>
          <w:noEndnote/>
          <w:docGrid w:linePitch="360"/>
        </w:sectPr>
      </w:pPr>
    </w:p>
    <w:p w14:paraId="0B8B07FF" w14:textId="50C7E119" w:rsidR="00A85CD7" w:rsidRDefault="00A85CD7" w:rsidP="00205449">
      <w:pPr>
        <w:pStyle w:val="40"/>
        <w:shd w:val="clear" w:color="auto" w:fill="auto"/>
        <w:tabs>
          <w:tab w:val="left" w:pos="8847"/>
        </w:tabs>
        <w:spacing w:after="0"/>
        <w:ind w:firstLine="0"/>
      </w:pPr>
    </w:p>
    <w:sectPr w:rsidR="00A85CD7" w:rsidSect="00205449">
      <w:pgSz w:w="12240" w:h="15840"/>
      <w:pgMar w:top="862" w:right="1068" w:bottom="1694" w:left="1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D598" w14:textId="77777777" w:rsidR="007C4D23" w:rsidRDefault="00506982">
      <w:r>
        <w:separator/>
      </w:r>
    </w:p>
  </w:endnote>
  <w:endnote w:type="continuationSeparator" w:id="0">
    <w:p w14:paraId="4581DAD4" w14:textId="77777777" w:rsidR="007C4D23" w:rsidRDefault="0050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5B09" w14:textId="77777777" w:rsidR="00A85CD7" w:rsidRDefault="005069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793EAB0" wp14:editId="509F1962">
              <wp:simplePos x="0" y="0"/>
              <wp:positionH relativeFrom="page">
                <wp:posOffset>6704330</wp:posOffset>
              </wp:positionH>
              <wp:positionV relativeFrom="page">
                <wp:posOffset>9447530</wp:posOffset>
              </wp:positionV>
              <wp:extent cx="8890" cy="7937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3FC0B0" w14:textId="77777777" w:rsidR="00A85CD7" w:rsidRDefault="00506982">
                          <w:pPr>
                            <w:pStyle w:val="24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ABF3"/>
                              <w:sz w:val="15"/>
                              <w:szCs w:val="15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527.89999999999998pt;margin-top:743.89999999999998pt;width:0.69999999999999996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AABF3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DD9B" w14:textId="77777777" w:rsidR="00A85CD7" w:rsidRDefault="005069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29DAE54" wp14:editId="76358B4D">
              <wp:simplePos x="0" y="0"/>
              <wp:positionH relativeFrom="page">
                <wp:posOffset>6704330</wp:posOffset>
              </wp:positionH>
              <wp:positionV relativeFrom="page">
                <wp:posOffset>9447530</wp:posOffset>
              </wp:positionV>
              <wp:extent cx="8890" cy="7937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A3A4E0" w14:textId="77777777" w:rsidR="00A85CD7" w:rsidRDefault="00506982">
                          <w:pPr>
                            <w:pStyle w:val="24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ABF3"/>
                              <w:sz w:val="15"/>
                              <w:szCs w:val="15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527.89999999999998pt;margin-top:743.89999999999998pt;width:0.69999999999999996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AABF3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E769" w14:textId="77777777" w:rsidR="00A85CD7" w:rsidRDefault="00A85CD7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FA43" w14:textId="77777777" w:rsidR="00A85CD7" w:rsidRDefault="00A85CD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F166" w14:textId="77777777" w:rsidR="00A85CD7" w:rsidRDefault="00A85CD7"/>
  </w:footnote>
  <w:footnote w:type="continuationSeparator" w:id="0">
    <w:p w14:paraId="0D7A122E" w14:textId="77777777" w:rsidR="00A85CD7" w:rsidRDefault="00A85C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939F" w14:textId="77777777" w:rsidR="00A85CD7" w:rsidRDefault="005069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FCA310A" wp14:editId="3AC83CF3">
              <wp:simplePos x="0" y="0"/>
              <wp:positionH relativeFrom="page">
                <wp:posOffset>4792980</wp:posOffset>
              </wp:positionH>
              <wp:positionV relativeFrom="page">
                <wp:posOffset>596265</wp:posOffset>
              </wp:positionV>
              <wp:extent cx="1813560" cy="1155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56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721202" w14:textId="77777777" w:rsidR="00A85CD7" w:rsidRDefault="00506982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w w:val="70"/>
                              <w:sz w:val="24"/>
                              <w:szCs w:val="24"/>
                            </w:rPr>
                            <w:t>ПРАКТИКА НАЛОГООБЛОЖЕНИЯ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377.39999999999998pt;margin-top:46.950000000000003pt;width:142.80000000000001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000000"/>
                        <w:spacing w:val="0"/>
                        <w:w w:val="7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ПРАКТИКА НАЛОГООБЛОЖЕНИЯ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7745" w14:textId="77777777" w:rsidR="00A85CD7" w:rsidRDefault="005069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D71AE8" wp14:editId="0D300DF3">
              <wp:simplePos x="0" y="0"/>
              <wp:positionH relativeFrom="page">
                <wp:posOffset>4792980</wp:posOffset>
              </wp:positionH>
              <wp:positionV relativeFrom="page">
                <wp:posOffset>596265</wp:posOffset>
              </wp:positionV>
              <wp:extent cx="1813560" cy="11557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56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10D0F6" w14:textId="77777777" w:rsidR="00A85CD7" w:rsidRDefault="00506982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w w:val="70"/>
                              <w:sz w:val="24"/>
                              <w:szCs w:val="24"/>
                            </w:rPr>
                            <w:t>ПРАКТИКА НАЛОГООБЛОЖЕНИЯ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377.39999999999998pt;margin-top:46.950000000000003pt;width:142.80000000000001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000000"/>
                        <w:spacing w:val="0"/>
                        <w:w w:val="7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ПРАКТИКА НАЛОГООБЛОЖЕНИЯ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D20D" w14:textId="77777777" w:rsidR="00A85CD7" w:rsidRDefault="00A85CD7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3054" w14:textId="77777777" w:rsidR="00A85CD7" w:rsidRDefault="005069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7F2E116A" wp14:editId="255F1DCC">
              <wp:simplePos x="0" y="0"/>
              <wp:positionH relativeFrom="page">
                <wp:posOffset>4979035</wp:posOffset>
              </wp:positionH>
              <wp:positionV relativeFrom="page">
                <wp:posOffset>491490</wp:posOffset>
              </wp:positionV>
              <wp:extent cx="1813560" cy="11874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5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ADED75" w14:textId="51208A41" w:rsidR="00A85CD7" w:rsidRDefault="00A85CD7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E116A"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392.05pt;margin-top:38.7pt;width:142.8pt;height:9.3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" filled="f" stroked="f">
              <v:textbox style="mso-fit-shape-to-text:t" inset="0,0,0,0">
                <w:txbxContent>
                  <w:p w14:paraId="32ADED75" w14:textId="51208A41" w:rsidR="00A85CD7" w:rsidRDefault="00A85CD7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06F07"/>
    <w:multiLevelType w:val="multilevel"/>
    <w:tmpl w:val="561CC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A45A3E"/>
    <w:multiLevelType w:val="multilevel"/>
    <w:tmpl w:val="6C103484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D7"/>
    <w:rsid w:val="00205449"/>
    <w:rsid w:val="00506982"/>
    <w:rsid w:val="007C4D23"/>
    <w:rsid w:val="00A8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398E8"/>
  <w15:docId w15:val="{EA83C5EE-9B1D-466B-987A-1C531EA1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7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AABF3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7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90" w:line="228" w:lineRule="auto"/>
    </w:pPr>
    <w:rPr>
      <w:rFonts w:ascii="Lucida Sans Unicode" w:eastAsia="Lucida Sans Unicode" w:hAnsi="Lucida Sans Unicode" w:cs="Lucida Sans Unicode"/>
      <w:w w:val="7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Century Gothic" w:eastAsia="Century Gothic" w:hAnsi="Century Gothic" w:cs="Century Gothic"/>
      <w:color w:val="0AABF3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auto"/>
      <w:ind w:left="2900" w:firstLine="300"/>
    </w:pPr>
    <w:rPr>
      <w:rFonts w:ascii="Segoe UI" w:eastAsia="Segoe UI" w:hAnsi="Segoe UI" w:cs="Segoe UI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30"/>
      <w:outlineLvl w:val="2"/>
    </w:pPr>
    <w:rPr>
      <w:rFonts w:ascii="Lucida Sans Unicode" w:eastAsia="Lucida Sans Unicode" w:hAnsi="Lucida Sans Unicode" w:cs="Lucida Sans Unicode"/>
      <w:w w:val="70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90" w:lineRule="auto"/>
      <w:ind w:firstLine="300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firstLine="170"/>
    </w:pPr>
    <w:rPr>
      <w:rFonts w:ascii="Lucida Sans Unicode" w:eastAsia="Lucida Sans Unicode" w:hAnsi="Lucida Sans Unicode" w:cs="Lucida Sans Unicode"/>
      <w:w w:val="7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60"/>
      <w:ind w:firstLine="580"/>
      <w:outlineLvl w:val="1"/>
    </w:pPr>
    <w:rPr>
      <w:rFonts w:ascii="Arial" w:eastAsia="Arial" w:hAnsi="Arial" w:cs="Arial"/>
      <w:b/>
      <w:bCs/>
      <w:w w:val="6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580" w:firstLine="290"/>
    </w:pPr>
    <w:rPr>
      <w:rFonts w:ascii="Arial" w:eastAsia="Arial" w:hAnsi="Arial" w:cs="Arial"/>
      <w:w w:val="80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05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5449"/>
    <w:rPr>
      <w:color w:val="000000"/>
    </w:rPr>
  </w:style>
  <w:style w:type="paragraph" w:styleId="a6">
    <w:name w:val="footer"/>
    <w:basedOn w:val="a"/>
    <w:link w:val="a7"/>
    <w:uiPriority w:val="99"/>
    <w:unhideWhenUsed/>
    <w:rsid w:val="00205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4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Malezhik</dc:creator>
  <cp:keywords/>
  <cp:lastModifiedBy>Калина Анастасия Сергеевна</cp:lastModifiedBy>
  <cp:revision>3</cp:revision>
  <dcterms:created xsi:type="dcterms:W3CDTF">2021-06-29T13:51:00Z</dcterms:created>
  <dcterms:modified xsi:type="dcterms:W3CDTF">2021-06-30T08:59:00Z</dcterms:modified>
</cp:coreProperties>
</file>