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Информация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об объявленном аукционе и предмете аукциона</w:t>
      </w: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33"/>
        <w:gridCol w:w="1560"/>
        <w:tblGridChange w:id="0">
          <w:tblGrid>
            <w:gridCol w:w="7933"/>
            <w:gridCol w:w="156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Комитет «Могилевоблимущество» – организатор аукционов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15.06.2023  в 11.10,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 Могилев, ул. Первомайская, 62, тел. 8(0222) 746702, 747003, 747750</w:t>
            </w:r>
          </w:p>
        </w:tc>
      </w:tr>
      <w:tr>
        <w:trPr>
          <w:cantSplit w:val="0"/>
          <w:trHeight w:val="842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1"/>
              <w:spacing w:after="120" w:line="220" w:lineRule="auto"/>
              <w:ind w:left="28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Находящееся в стадии реконструкции здание кухни-столовой </w:t>
              <w:br w:type="textWrapping"/>
              <w:t xml:space="preserve">856 кв.м с сооружениями по адресу: Осиповичский р-н, Протасевичский сельсовет, 33, вблизи дер. Верейцы. Начальная цена – 5 базовых величин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</w:rPr>
              <w:drawing>
                <wp:inline distB="0" distT="0" distL="0" distR="0">
                  <wp:extent cx="643986" cy="643986"/>
                  <wp:effectExtent b="0" l="0" r="0" t="0"/>
                  <wp:docPr descr="C:\Users\vorobieva\Downloads\qr-3331503.jpg" id="1" name="image1.jpg"/>
                  <a:graphic>
                    <a:graphicData uri="http://schemas.openxmlformats.org/drawingml/2006/picture">
                      <pic:pic>
                        <pic:nvPicPr>
                          <pic:cNvPr descr="C:\Users\vorobieva\Downloads\qr-3331503.jpg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986" cy="64398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tabs>
          <w:tab w:val="left" w:leader="none" w:pos="7088"/>
        </w:tabs>
        <w:spacing w:line="240" w:lineRule="auto"/>
        <w:ind w:right="140" w:firstLine="709"/>
        <w:jc w:val="both"/>
        <w:rPr>
          <w:rFonts w:ascii="Times New Roman" w:cs="Times New Roman" w:eastAsia="Times New Roman" w:hAnsi="Times New Roman"/>
          <w:b w:val="1"/>
          <w:color w:val="0000ff"/>
          <w:sz w:val="30"/>
          <w:szCs w:val="3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Извещение о проведении аукциона опубликовано на сайтах Государственного комитета по имуществу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30"/>
            <w:szCs w:val="30"/>
            <w:u w:val="single"/>
            <w:rtl w:val="0"/>
          </w:rPr>
          <w:t xml:space="preserve">http://gki.gov.by/ru/auction/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sz w:val="30"/>
            <w:szCs w:val="30"/>
            <w:u w:val="single"/>
            <w:rtl w:val="0"/>
          </w:rPr>
          <w:t xml:space="preserve">http://au.nca.by/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) и Могилевского областного исполнительного комитета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30"/>
            <w:szCs w:val="30"/>
            <w:u w:val="single"/>
            <w:rtl w:val="0"/>
          </w:rPr>
          <w:t xml:space="preserve">http://mogilev-region.gov.by/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30"/>
          <w:szCs w:val="30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Контактное лицо по вопросам приобретения указанных объектов со стороны Осиповичского районного исполнительного комитета:</w:t>
      </w:r>
    </w:p>
    <w:p w:rsidR="00000000" w:rsidDel="00000000" w:rsidP="00000000" w:rsidRDefault="00000000" w:rsidRPr="00000000" w14:paraId="00000008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Заведующий сектором экономического анализа и имущественных отношений отдела экономики райисполокома - Емельянов Сергей Николаевич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Адрес: 213760, г.Осиповичи, ул.Сумченко, 30, каб.8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Тел. 8 (02235) 66037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5387"/>
        </w:tabs>
        <w:spacing w:after="120" w:line="240" w:lineRule="auto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color w:val="272727"/>
          <w:sz w:val="30"/>
          <w:szCs w:val="30"/>
          <w:highlight w:val="white"/>
          <w:rtl w:val="0"/>
        </w:rPr>
        <w:t xml:space="preserve">E-mail: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30"/>
            <w:szCs w:val="30"/>
            <w:highlight w:val="white"/>
            <w:u w:val="single"/>
            <w:rtl w:val="0"/>
          </w:rPr>
          <w:t xml:space="preserve">econom@osipovichi.gov.by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econom@osipovichi.gov.by" TargetMode="External"/><Relationship Id="rId9" Type="http://schemas.openxmlformats.org/officeDocument/2006/relationships/hyperlink" Target="http://mogilev-region.gov.by/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gki.gov.by/ru/auction/" TargetMode="External"/><Relationship Id="rId8" Type="http://schemas.openxmlformats.org/officeDocument/2006/relationships/hyperlink" Target="http://au.nca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