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AC" w:rsidRPr="007241F6" w:rsidRDefault="00352BAC" w:rsidP="00352B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1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Подведены первые итоги</w:t>
      </w:r>
      <w:r w:rsidR="009272B8" w:rsidRPr="007241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241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областной акции</w:t>
      </w:r>
      <w:r w:rsidRPr="00724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41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«Мое личное здоровье = Мой личный вклад в здоровье нации» </w:t>
      </w:r>
      <w:r w:rsidRPr="00724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среди учреждений общего среднего, профессионально-технического и среднего специального образования под девизом: «Вакцинация – выбор ответственного человека!».</w:t>
      </w:r>
    </w:p>
    <w:p w:rsidR="00352BAC" w:rsidRPr="007A46F7" w:rsidRDefault="00352BAC" w:rsidP="00352B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стартовала 10 марта и продлится до середины июня 2022 года.</w:t>
      </w:r>
    </w:p>
    <w:p w:rsidR="00352BAC" w:rsidRPr="007A46F7" w:rsidRDefault="00352BAC" w:rsidP="00352B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акции – максимально привлечь внимание родителей к вопросам профилактики коронавирусной инфекции, в частности вакцинации детей.</w:t>
      </w:r>
    </w:p>
    <w:p w:rsidR="00352BAC" w:rsidRPr="007A46F7" w:rsidRDefault="00352BAC" w:rsidP="00352B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марта месяца специалистами санитарно-эпидемиологической службы, организаций здравоохранения области совместно с педагогами проведена активная разъяснительная работа с родительским активом, направленная на формирование мотивации, с акцентом на значимость иммунизации детей против COVID-19 и безопасность применяемых вакцин. Медицинские работники приняли участие в ТВ-сюжетах и радио-эфирах, провели индивидуальные консультации для родителей во время амбулаторного приема, а также посетили родительские собрания в учреждениях образования.</w:t>
      </w:r>
    </w:p>
    <w:p w:rsidR="00352BAC" w:rsidRPr="007A46F7" w:rsidRDefault="00352BAC" w:rsidP="00352B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проведенной работы, на конец марта 2022 года вакцинацией от коронавирусной инфекции охвачено более 13.000 учащихся, максимальный охват от числа подлежащих вакцинации отмечен в следующих учреждениях образования:</w:t>
      </w:r>
    </w:p>
    <w:p w:rsidR="00352BAC" w:rsidRPr="007A46F7" w:rsidRDefault="00352BAC" w:rsidP="00352B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Учреждения общего среднего образования:</w:t>
      </w:r>
    </w:p>
    <w:p w:rsidR="00352BAC" w:rsidRPr="007A46F7" w:rsidRDefault="00352BAC" w:rsidP="00352B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ГУО «Горский УПК детский сад – базовая школа» (Краснопольский район); ГУО «Яновский УПК детский сад – базовая школа» (Краснопольский район); ГУО «Осиновский учебно-педагогический комплекс детский сад – средняя школа» (Чаусский район);</w:t>
      </w:r>
    </w:p>
    <w:p w:rsidR="00352BAC" w:rsidRPr="007A46F7" w:rsidRDefault="00352BAC" w:rsidP="00352B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ГУО «Телушский учебно-педагогический комплекс детский сад – средняя школа» Бобруйского района;</w:t>
      </w:r>
    </w:p>
    <w:p w:rsidR="00352BAC" w:rsidRPr="007A46F7" w:rsidRDefault="00C62B87" w:rsidP="00352B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</w:t>
      </w:r>
      <w:r w:rsidR="00352BAC" w:rsidRPr="007A46F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ГУО «Семукачский учебно-педагогический комплекс детский сад – средняя школа» Могилевского района;</w:t>
      </w:r>
    </w:p>
    <w:p w:rsidR="00352BAC" w:rsidRPr="007A46F7" w:rsidRDefault="00C62B87" w:rsidP="00352B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</w:t>
      </w:r>
      <w:r w:rsidR="00352BAC" w:rsidRPr="007A46F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ГУО «Средняя школа №17 г. Бобруйска».</w:t>
      </w:r>
    </w:p>
    <w:p w:rsidR="00352BAC" w:rsidRPr="007A46F7" w:rsidRDefault="00352BAC" w:rsidP="00352B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Учреждения среднего специального образования: </w:t>
      </w:r>
    </w:p>
    <w:p w:rsidR="00352BAC" w:rsidRPr="007A46F7" w:rsidRDefault="00352BAC" w:rsidP="00352B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УО «Бобруйский государственный технологический колледж»;</w:t>
      </w:r>
    </w:p>
    <w:p w:rsidR="00352BAC" w:rsidRPr="007A46F7" w:rsidRDefault="00352BAC" w:rsidP="00352B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Горецкий педагогический колледж учреждения образования «МГУ имени А.А.Кулешова».</w:t>
      </w:r>
    </w:p>
    <w:p w:rsidR="00352BAC" w:rsidRPr="007A46F7" w:rsidRDefault="00352BAC" w:rsidP="00352B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Учреждения профессионально-технического образования:</w:t>
      </w:r>
    </w:p>
    <w:p w:rsidR="00352BAC" w:rsidRPr="007A46F7" w:rsidRDefault="00352BAC" w:rsidP="00352B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 ГУО «Костюковичский профессиональный лицей №8»;</w:t>
      </w:r>
    </w:p>
    <w:p w:rsidR="00352BAC" w:rsidRPr="007A46F7" w:rsidRDefault="00C62B87" w:rsidP="00352B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</w:t>
      </w:r>
      <w:r w:rsidR="00352BAC" w:rsidRPr="007A46F7">
        <w:rPr>
          <w:rFonts w:ascii="Times New Roman" w:eastAsia="Times New Roman" w:hAnsi="Times New Roman" w:cs="Times New Roman"/>
          <w:sz w:val="28"/>
          <w:szCs w:val="28"/>
          <w:lang w:eastAsia="ru-RU"/>
        </w:rPr>
        <w:t>УО «Осиповичский государственный профессионально-технический колледж».</w:t>
      </w:r>
    </w:p>
    <w:p w:rsidR="007241F6" w:rsidRDefault="00352BAC" w:rsidP="00352B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снижение заболеваемости коронавирусной инфекцией, циркуляция вируса SARS-CoV-2 продолжается. По данным ВОЗ пандемия еще далека от завершения и вакцинация остается лучшим инструментом для борьбы с распространением инфекции и спасения жизней. На сегодняшний день крайне важно использовать время относительного благополучия для вакцинации ранее непривитых лиц, в том числе детей, а также для бустерной вакцинации (ревакцинации) лиц, уже получивших первичный курс прививок.</w:t>
      </w:r>
    </w:p>
    <w:p w:rsidR="007241F6" w:rsidRDefault="007241F6" w:rsidP="00352B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1F6" w:rsidRDefault="007241F6" w:rsidP="00352BAC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Могилевский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облЦГЭиОЗ»</w:t>
      </w:r>
    </w:p>
    <w:sectPr w:rsidR="007241F6" w:rsidSect="008B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BAC"/>
    <w:rsid w:val="00352BAC"/>
    <w:rsid w:val="003C4A77"/>
    <w:rsid w:val="004C03AD"/>
    <w:rsid w:val="007241F6"/>
    <w:rsid w:val="00847309"/>
    <w:rsid w:val="008B3FB9"/>
    <w:rsid w:val="009272B8"/>
    <w:rsid w:val="00AF5288"/>
    <w:rsid w:val="00C62B87"/>
    <w:rsid w:val="00D97FB6"/>
    <w:rsid w:val="00FA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2022-04-15T10:21:00Z</dcterms:created>
  <dcterms:modified xsi:type="dcterms:W3CDTF">2022-04-15T13:57:00Z</dcterms:modified>
</cp:coreProperties>
</file>