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31" w:rsidRPr="00D90631" w:rsidRDefault="00D90631" w:rsidP="00D90631">
      <w:pPr>
        <w:pStyle w:val="a6"/>
        <w:rPr>
          <w:rFonts w:eastAsia="Times New Roman"/>
          <w:b/>
          <w:kern w:val="36"/>
          <w:sz w:val="10"/>
          <w:szCs w:val="10"/>
          <w:lang w:eastAsia="ru-RU"/>
        </w:rPr>
      </w:pPr>
    </w:p>
    <w:p w:rsidR="00D90631" w:rsidRPr="00D90631" w:rsidRDefault="00D90631" w:rsidP="00D90631">
      <w:pPr>
        <w:pStyle w:val="a6"/>
        <w:rPr>
          <w:rFonts w:eastAsia="Times New Roman"/>
          <w:b/>
          <w:kern w:val="36"/>
          <w:sz w:val="40"/>
          <w:szCs w:val="40"/>
          <w:lang w:eastAsia="ru-RU"/>
        </w:rPr>
      </w:pPr>
      <w:r w:rsidRPr="00D90631">
        <w:rPr>
          <w:rFonts w:eastAsia="Times New Roman"/>
          <w:b/>
          <w:kern w:val="36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-88934</wp:posOffset>
            </wp:positionH>
            <wp:positionV relativeFrom="margin">
              <wp:posOffset>-248452</wp:posOffset>
            </wp:positionV>
            <wp:extent cx="5833110" cy="3474720"/>
            <wp:effectExtent l="19050" t="0" r="0" b="0"/>
            <wp:wrapSquare wrapText="bothSides"/>
            <wp:docPr id="1" name="Рисунок 46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90631">
        <w:rPr>
          <w:rFonts w:eastAsia="Times New Roman"/>
          <w:b/>
          <w:kern w:val="36"/>
          <w:sz w:val="40"/>
          <w:szCs w:val="40"/>
          <w:lang w:eastAsia="ru-RU"/>
        </w:rPr>
        <w:t>Анализ</w:t>
      </w:r>
      <w:proofErr w:type="gramEnd"/>
      <w:r w:rsidRPr="00D90631">
        <w:rPr>
          <w:rFonts w:eastAsia="Times New Roman"/>
          <w:b/>
          <w:kern w:val="36"/>
          <w:sz w:val="40"/>
          <w:szCs w:val="40"/>
          <w:lang w:eastAsia="ru-RU"/>
        </w:rPr>
        <w:t xml:space="preserve"> на онкомаркеры: </w:t>
      </w:r>
      <w:proofErr w:type="gramStart"/>
      <w:r w:rsidRPr="00D90631">
        <w:rPr>
          <w:rFonts w:eastAsia="Times New Roman"/>
          <w:b/>
          <w:kern w:val="36"/>
          <w:sz w:val="40"/>
          <w:szCs w:val="40"/>
          <w:lang w:eastAsia="ru-RU"/>
        </w:rPr>
        <w:t>какие</w:t>
      </w:r>
      <w:proofErr w:type="gramEnd"/>
      <w:r w:rsidRPr="00D90631">
        <w:rPr>
          <w:rFonts w:eastAsia="Times New Roman"/>
          <w:b/>
          <w:kern w:val="36"/>
          <w:sz w:val="40"/>
          <w:szCs w:val="40"/>
          <w:lang w:eastAsia="ru-RU"/>
        </w:rPr>
        <w:t xml:space="preserve"> виды рака можно определить 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злокачественного заболевания с высокой долей вероятности покажут онкомаркеры. Они помогают отслеживать развитие болезни и эффективность терапии при раке.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на онкологию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онкомаркер показывает рак яичника?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Онкомаркер СА-125.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мониторинге рака яичников наиболее популярен сывороточный опухолевый маркер СА 125. Он играет важную роль и в оценке реакции организма на лечение, и в раннем выявлении рецидивов.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у 80% женщин, страдающих эпителиальным раком яичников, уровень этого онкомаркера повышен.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нюансы. Так, раннюю стадию онкологического заболевания он может не показать из-за низкой чувствительности. И наоборот, может дать положительный результат при доброкачественных заболеваниях репродуктивных органов у женщин, при раковых новообразованиях других локализаций и даже у здоровых пациенток репродуктивного возраста.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большей точности диагностики в настоящее время проводятся исследования, где изучается возможность использования СА 125 совместно с другими онкомаркерами. Лучше всего такая схема работает для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4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белка эпидидимиса человека.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Белок НЕ 4 синтезируется в эпителиальной ткани репродуктивных органов, верхних дыхательных путей и поджелудочной железы. Минимальное содержание его в яичниках свидетельствует об отсутствии патологии.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этих двух онкомаркеров достаточно эффективно, учитывая, что НЕ 4 чувствительнее СА 125. Их тандем позволяет выявлять рак яичников на ранней стадии и проводить дифференциальную диагностику опухолей малого таза (как доброкачественных, так и раковых).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специальный алгоритм расчета риска рака яичников, ROMA, учитывающий значения СА 125 и НЕ 4, а также менопаузальный статус пациентки.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онкомаркер показывает рак шейки матки?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Онкомаркер SCC (маркер рака шейки матки, антиген плоскоклеточной карциномы).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90% рака шейки матки составляет плоскоклеточная карцинома. Наиболее информативным маркером для данной патологии является антиген SCC — вещество, которое организм воспринимает как чужеродное и начинает с ним бороться.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онкомаркер покажет, как развивается болезнь, насколько эффективно проводимое лечение, поможет спрогнозировать и выявить рецидив на доклиническом этапе.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чувствителен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SCC при III-IV стадиях рака шейки матки (около 80%). На ранних стадиях его чувствительность не превышает 50%.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радикального вмешательства уровень этого маркера должен снижаться до нормы в течение дня-двух. А период его полужизни (полувыведения) — время, за которое его количество снижается в два раза — составляет всего около часа.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мониторинга рака шейки матки, особенно на ранних стадиях, используют также сочетание SCC с РЭА,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yfra 21-1 и TPS.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онкомаркеры сдают на рак молочной железы?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Опухолевый маркер CA 15-3.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наличия карциномы молочной железы специфичным является СА 15-3. К сожалению, он неинформативен при ранней стадии онкозаболевания, т.к. лишь при наличии метастазов имеет чувствительность около 70%.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 15-3 помогает отслеживать результаты химиотерапии. Так, если дважды отмечено последовательное повышение уровня маркера, значит, проводимое лечение неэффективно и требует пересмотра, т.к. заболевание прогрессирует.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рекомендациям Европейской экспертной группы, перед каждым курсом химиотерапии следует определять СА 15-3 у женщин, имеющих рак молочной железы с метастазами. А во время терапии гормонами — не реже, чем каждые три месяца.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проверить, есть ли рак печени?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онкомаркер печени – альфа фетопротеин (АФП).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причин смертности от онкозаболеваний рак печени (гепатоцеллюлярная карцинома) занимает третье место в мире, а по распространенности — пятое. Среди наиболее значимых факторов риска — гепатиты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цирроз.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онкомаркером для диагностики злокачественного заболевания является АФП (альфа-фетопротеин). В группах высокого риска этот белок используется для скрининга гепатоцеллюлярного рака.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главных достоинств маркера — возможность выявления опухоли на достаточно ранней стадии, с единичными очагами.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хронических болезней печени АФП позволяет заподозрить у пациента развитие карциномы (если показатель выше 10 МЕ/мл (мкг/л).</w:t>
      </w:r>
      <w:proofErr w:type="gramEnd"/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послеоперационном периоде, когда новообразование полностью удалено, уровень альфа-фетопротеина обычно снижается с периодом полувыведения 3,5-4 дня. Маркер отражает также опухолевый ответ на химиотерапию.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АФП с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раковым эмбриональным антигеном (РЭА)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проводить дифференциальную диагностику непосредственно опухоли и наличия метастазов в печени. Т.к. в отличие от первичной гепатоцеллюлярной карциномы, уровень РЭА в крови в процессе метастазирования значительно повышается.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анализы сдать при подозрении на рак желудка?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онкомаркерами, используемыми для диагностики рака желудка,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–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эмбриональные антигены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 19-9, СА 72-4, РЭА. </w:t>
      </w:r>
    </w:p>
    <w:p w:rsid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Маркеры помогают также в оценке эффективности лечения и раннего определения рецидивов. Чаще всего для наблюдения за течением заболевания используются такие опухолевые маркеры, как РЭА, СА 72-4 и СА 19-9. Из них СА 72-4 – наиболее чувствителен и специфичен.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анализы крови указывают на рак поджелудочной железы?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 — 19—9 — </w:t>
      </w:r>
      <w:proofErr w:type="gramStart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</w:t>
      </w:r>
      <w:proofErr w:type="gramEnd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прежде всего онкомаркер рака желудка и поджелудочной железы. 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опухолей поджелудочной железы около 90% составляют аденокарциномы. Единственным официально рекомендованным маркером является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СА 19-9.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 раке этой локализации применяют также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 242, РЭА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некоторыми ограничениями СА 19-9 помогает диагностировать рак, но 5-10% населения не чувствительны к этому онкомаркеру. А образования до 3 см дадут повышение уровня маркера лишь у 55% пациентов.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 19-9 выводится из организма только с желчью, поэтому даже незначительный ее застой (холестаз) становится причиной повышения содержания маркера в сыворотке крови.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Высококонцентрированным СА 19-9 может быть и при других раковых опухолях желудочно-кишечного тракта, а также при остром и хроническом панкреатите, циррозе печени, холецистите, холангите.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анализы показывают колоректальный рак?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Онкомаркеры кишечника.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 маркером при колоректальном раке выступает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РЭА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используются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 19-9, СА 242, </w:t>
      </w:r>
      <w:proofErr w:type="gramStart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PA, TPS,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тканевой ингибитор металлопротеиназы.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эксперты признают, что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раковый эмбриональный антиген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достоверный инструмент мониторинга и раннего обнаружения рецидива колоректального рака.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пациента через месяц после предыдущего анализа отмечено повышение уровня РЭА не менее чем на 30%, то, согласно рекомендациям Европейской ассоциации опухолевых маркеров, требуется дальнейшее обследование.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у части пациентов (20-30%) пациентов при развитии рецидива колоректального рака уровень РЭА остается в норме.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</w:t>
      </w:r>
      <w:proofErr w:type="gramEnd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онкомаркеры показывают рак легких?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Онкомаркеры на рак легких.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гистологическому типу рак легкого делится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мелкоклеточный или немелкоклеточный. От этого напрямую зависит использование онкомаркеров для диагностики и мониторинга заболевания.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маркер при мелкоклеточной опухоли легкого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нейрон-специфическая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енолаза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(НСЕ).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анализа зависит от стадии 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болезни и составляет 34-84%. При уровне НСЕ выше 100 мкг/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 вероятность, что у пациента развился мелкоклеточный рак легкого.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учитывать, что на этапе химиотерапии происходит краткосрочное (24-72 часа) повышение уровня НСЕ в результате разрушения раковых клеток. Если к концу цикла химиотерапии концентрация НСЕ в крови снижается, значит, лечение проходит успешно.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Немелкоклеточными являются плоскоклеточная карцинома, аденокарцинома, крупноклеточный рак легкого.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определения немелкоклеточного рака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пригоден 19 фрагмент цитокератина (</w:t>
      </w:r>
      <w:proofErr w:type="gramStart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YFRA 21-1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прогнозировании гистологического типа новообразования до операции можно использовать маркер плоскоклеточного рака SCC (хотя в целом он менее чувствителен, чем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YFRA 21-1).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Аденокарцинома и крупноклеточная карцинома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дают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РЭА.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эффективным способом оценить лечение рака легкого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использование наряду с другими параметрами НСЕ, РЭА, </w:t>
      </w:r>
      <w:proofErr w:type="gramStart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YFRA 21-1, SCC. 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разработана и зарегистрирована в Беларуси новая тест-система для определения еще одного онкомаркера — проГастрин релизинг пептида (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ProGRP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). Его сывороточный уровень пригодится в диагностике, прогнозе и раннем выявлении рецидивов мелкоклеточного рака легкого.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анализы указывают на рак мочевого пузыря?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Онкомаркер мочевого пузыря.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рост злокачественных клеток в мочевом пузыре помогает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антиген UBC 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(необходим анализ мочи). Он высокочувствителен: выше 50% даже на I стадии заболевания, при этом уровень маркера пропорционален объему опухолевого поражения мочевого пузыря.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UBC в динамике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укажут на рецидив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опухолевого процесса за несколько месяцев до клинических признаков.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необходима дифференциальная диагностик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между раком мочевого пузыря и циститом, то используется ТРА.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наличие мышечно-инвазивной карциномы мочевого пузыря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указывает маркер Cyfra 21-1.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Выявить злокачественные процессы в мочевом пузыре</w:t>
      </w: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и с другими уринологическими опухолевыми маркерами. Так, для диагностики рака у пациентов с симптомами или находящихся в группах риска используется также количественное выявление белка NMP-22 в моче методом иммуноферментного анализа набором Bladder Cancer Test.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обнаружить раковую опухоль в организме много, и ни один не является идеальным. Для постановки точного диагноза и начала лечения необходима консультация врача-онколога и ряд диагностических обследований. Не затягивайте с походом к врачу, это может спасти вам жизнь.</w:t>
      </w: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клинико-диагностической лабораторией РНПЦ онкологии и медрадиологии им. Н.Н. Александрова, доктор биологических наук </w:t>
      </w:r>
      <w:r w:rsidRPr="00D9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Лилия Державец</w:t>
      </w:r>
    </w:p>
    <w:p w:rsid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631" w:rsidRPr="00D90631" w:rsidRDefault="00D90631" w:rsidP="00D90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D906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https://24health.by/</w:t>
        </w:r>
      </w:hyperlink>
      <w:r w:rsidRPr="00D9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Здоровые люди)</w:t>
      </w:r>
    </w:p>
    <w:p w:rsidR="009705C6" w:rsidRPr="00D90631" w:rsidRDefault="00D90631" w:rsidP="00D90631">
      <w:pPr>
        <w:jc w:val="both"/>
        <w:rPr>
          <w:sz w:val="28"/>
          <w:szCs w:val="28"/>
        </w:rPr>
      </w:pPr>
    </w:p>
    <w:sectPr w:rsidR="009705C6" w:rsidRPr="00D90631" w:rsidSect="00D906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90631"/>
    <w:rsid w:val="000C33AA"/>
    <w:rsid w:val="00151845"/>
    <w:rsid w:val="00D41ED5"/>
    <w:rsid w:val="00D9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D9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0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6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D90631"/>
  </w:style>
  <w:style w:type="character" w:styleId="a3">
    <w:name w:val="Hyperlink"/>
    <w:basedOn w:val="a0"/>
    <w:uiPriority w:val="99"/>
    <w:semiHidden/>
    <w:unhideWhenUsed/>
    <w:rsid w:val="00D90631"/>
    <w:rPr>
      <w:color w:val="0000FF"/>
      <w:u w:val="single"/>
    </w:rPr>
  </w:style>
  <w:style w:type="character" w:customStyle="1" w:styleId="author">
    <w:name w:val="author"/>
    <w:basedOn w:val="a0"/>
    <w:rsid w:val="00D90631"/>
  </w:style>
  <w:style w:type="paragraph" w:styleId="a4">
    <w:name w:val="Normal (Web)"/>
    <w:basedOn w:val="a"/>
    <w:uiPriority w:val="99"/>
    <w:semiHidden/>
    <w:unhideWhenUsed/>
    <w:rsid w:val="00D9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medium-font-size">
    <w:name w:val="has-medium-font-size"/>
    <w:basedOn w:val="a"/>
    <w:rsid w:val="00D9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0631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D906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health.b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1460</Words>
  <Characters>8325</Characters>
  <Application>Microsoft Office Word</Application>
  <DocSecurity>0</DocSecurity>
  <Lines>69</Lines>
  <Paragraphs>19</Paragraphs>
  <ScaleCrop>false</ScaleCrop>
  <Company>home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2025-11-27T15:04:00Z</dcterms:created>
  <dcterms:modified xsi:type="dcterms:W3CDTF">2025-11-27T15:06:00Z</dcterms:modified>
</cp:coreProperties>
</file>