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5F74" w14:textId="77777777" w:rsidR="009507AC" w:rsidRPr="00F37E00" w:rsidRDefault="009507AC" w:rsidP="009507AC">
      <w:pPr>
        <w:pBdr>
          <w:bottom w:val="single" w:sz="12" w:space="0" w:color="EBEBEB"/>
        </w:pBdr>
        <w:shd w:val="clear" w:color="auto" w:fill="FAFAFA"/>
        <w:spacing w:before="100" w:beforeAutospacing="1" w:after="100" w:afterAutospacing="1"/>
        <w:ind w:firstLine="0"/>
        <w:jc w:val="left"/>
        <w:outlineLvl w:val="1"/>
        <w:rPr>
          <w:rFonts w:ascii="Open Sans" w:eastAsia="Times New Roman" w:hAnsi="Open Sans" w:cs="Open Sans"/>
          <w:b/>
          <w:bCs/>
          <w:color w:val="1A1A1A"/>
          <w:sz w:val="28"/>
          <w:szCs w:val="28"/>
          <w:lang w:val="ru-RU"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8"/>
          <w:szCs w:val="28"/>
          <w:lang w:eastAsia="ru-BY"/>
        </w:rPr>
        <w:t>Разъяснение о порядке оборота, в том числе реализации населению, товаров, подлежащих маркировке унифицированными контрольными знаками и (или) средствами идентификации и (или) подлежащих прослеживаемости, в условиях отсутствия внешнего электроснабжения и (</w:t>
      </w:r>
      <w:r w:rsidRPr="00A92E33">
        <w:rPr>
          <w:rFonts w:ascii="Open Sans" w:eastAsia="Times New Roman" w:hAnsi="Open Sans" w:cs="Open Sans"/>
          <w:b/>
          <w:bCs/>
          <w:color w:val="1A1A1A"/>
          <w:sz w:val="28"/>
          <w:szCs w:val="28"/>
          <w:lang w:val="ru-RU" w:eastAsia="ru-BY"/>
        </w:rPr>
        <w:t>или) сети Интернет, а также порядка возврата населением таких товаров</w:t>
      </w:r>
    </w:p>
    <w:p w14:paraId="694BB829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Министерство по налогам и сборам Республики Беларусь совместно с Министерством антимонопольного регулирования и торговли Республики Беларусь по вопросу порядка оборота, в том числе реализации населению, товаров, подлежащих маркировке унифицированными контрольными знаками и (или) средствами идентификации и (или) подлежащих прослеживаемости, в условиях отсутствия внешнего электроснабжения и (или) сети Интернет, а также порядка возврата населением таких товаров разъясняют следующее.</w:t>
      </w:r>
    </w:p>
    <w:p w14:paraId="18E4E0A0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BY"/>
        </w:rPr>
        <w:t>I.     В отношении оборота товаров, подлежащих маркировке.</w:t>
      </w:r>
    </w:p>
    <w:p w14:paraId="1F8A2AE6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В период отсутствия внешнего электроснабжения и (или) сети Интернет допускается осуществлять:</w:t>
      </w:r>
    </w:p>
    <w:p w14:paraId="129C8C0E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оборот товаров, подлежащих маркировке унифицированными контрольными знаками или средствами идентификации, без нанесенных на товары или их упаковку унифицированных контрольных знаков или средств идентификации либо с нанесенными на товары унифицированными контрольными знаками или средствами идентификации при отсутствии сведений о таких унифицированных контрольных знаков, средств идентификации или о таких товарах в системе маркировки;</w:t>
      </w:r>
    </w:p>
    <w:p w14:paraId="1AB5A80A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оборот товаров со средством идентификации, нанесенным непосредственно на товар или его упаковку либо на материальный носитель, не содержащий элементы (средства) защиты от подделки или знак защиты (далее - незащищенное средство идентификации), без использования электронных накладных или иных документов в виде электронных документов, создаваемых субъектами хозяйствования, подтверждающих перемещение товаров при осуществлении взаимной торговли с другими государствами, в которых указана информация о нанесенных средствах идентификации. В данных случаях, когда использование субъектами хозяйствования электронных накладных невозможно, оборот маркированных незащищенными средствами идентификации товаров может осуществляться с использованием товарно-транспортных и товарных накладных, составленных на бумажных носителях.</w:t>
      </w:r>
    </w:p>
    <w:p w14:paraId="45FC4EE4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BY"/>
        </w:rPr>
        <w:lastRenderedPageBreak/>
        <w:t>II.              В отношении оборота товаров, подлежащих прослеживаемости.</w:t>
      </w:r>
    </w:p>
    <w:p w14:paraId="7B6B50B3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Операции, связанные с оборотом товаров, подлежащих прослеживаемости, в период отсутствия внешнего электроснабжения и (или) сети Интернет, когда использование субъектами хозяйствования электронных накладных невозможно, могут осуществляться с использованием товарно-транспортных и товарных накладных, составленных на бумажных носителях.</w:t>
      </w:r>
    </w:p>
    <w:p w14:paraId="5F03D4FE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BY"/>
        </w:rPr>
        <w:t>III.           В отношении реализации маркированных товаров в розничной торговле.</w:t>
      </w:r>
    </w:p>
    <w:p w14:paraId="310EF8C1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С учетом норм подпункта 35.1 пункта 35, пунктов 37 и 38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части второй пункта 10</w:t>
      </w:r>
      <w:r w:rsidRPr="00F37E00">
        <w:rPr>
          <w:rFonts w:ascii="Open Sans" w:eastAsia="Times New Roman" w:hAnsi="Open Sans" w:cs="Open Sans"/>
          <w:color w:val="1A1A1A"/>
          <w:sz w:val="18"/>
          <w:szCs w:val="18"/>
          <w:bdr w:val="none" w:sz="0" w:space="0" w:color="auto" w:frame="1"/>
          <w:vertAlign w:val="superscript"/>
          <w:lang w:eastAsia="ru-BY"/>
        </w:rPr>
        <w:t>1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 Положения № 924/16 (в редакции, вступающей в силу с 01.07.2025) при реализации товаров, подлежащих маркировке, субъекты хозяйствования вправе не использовать кассовое оборудование в случае ремонта кассового оборудования или при временном отсутствии электроэнергии.</w:t>
      </w:r>
    </w:p>
    <w:p w14:paraId="2669CDD8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14:paraId="440AA71E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proofErr w:type="spellStart"/>
      <w:r w:rsidRPr="00F37E00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BY"/>
        </w:rPr>
        <w:t>Справочно</w:t>
      </w:r>
      <w:proofErr w:type="spellEnd"/>
      <w:r w:rsidRPr="00F37E00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BY"/>
        </w:rPr>
        <w:t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14:paraId="67BA06F5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 xml:space="preserve"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lastRenderedPageBreak/>
        <w:t>индивидуальными предпринимателями, но не реже одного раза в семь дней (пункт 38 Положения № 924/16).</w:t>
      </w:r>
    </w:p>
    <w:p w14:paraId="66A9D5C5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BY"/>
        </w:rPr>
        <w:t>IV.       В отношении возврата населением ранее реализованных товаров, подлежащих маркировке и (или) прослеживаемости, в розничной сети.</w:t>
      </w:r>
    </w:p>
    <w:p w14:paraId="1C7ACE92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В случае возврата в торговый объект товара, подлежащего маркировке и (или) прослеживаемости, и при отсутствии возможности использования кассового оборудования в связи с отсутствием внешнего электроснабжения и (или) сети Интернет, субъекты торговли осуществляют выдачу покупателю денежных средств за возвращаемый товар по расходному кассовому ордеру или по отдельной платежной ведомости с составлением расходного кассового ордера на общую сумму наличных белорусских рублей или наличной иностранной валюты, выплаченных по платежной ведомости, в соответствии с пунктом 35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Беларусь от 20.12.2023 № 472.</w:t>
      </w:r>
    </w:p>
    <w:p w14:paraId="2E536F03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При этом, если на товаре, подлежащем маркировке унифицированными контрольными знаками или средствами идентификации, отсутствуют унифицированные контрольные знаки или средства идентификации, субъектом хозяйствования в силу требований пункта 4 Инструкции о порядке хранения, транспортировки и реализации товаров, подлежащих маркировке унифицированными контрольными знаками или средствами идентификации, утвержденной постановлением Министерства по налогам и сборам Республики Беларусь от 03.05.2021 №17 (далее - Инструкция о хранении, постановление № 17), должен быть составлен акт приемки немаркированных товаров по форме согласно приложению к Инструкции о хранении.</w:t>
      </w:r>
    </w:p>
    <w:p w14:paraId="51D693DD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 xml:space="preserve">Дальнейшая реализация возвращенных товаров в период отсутствия электроснабжения и (или) сети Интернет осуществляется в порядке, предусмотренном в разделе III настоящего письма. После восстановления электроснабжения и (или) доступа в Интернет реализация возвращенных товаров, подлежащих маркировке унифицированными контрольными знаками или средствами идентификации, на которых отсутствуют унифицированные контрольные знаки или средства идентификации осуществляется с использованием кассового оборудования (с 01.07.2025 - без необходимости считывания и передачи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DataMatrix</w:t>
      </w:r>
      <w:proofErr w:type="spellEnd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, включающей в себя переменную информацию, в том числе серию и номер унифицированного контрольного знака).</w:t>
      </w:r>
    </w:p>
    <w:p w14:paraId="2FF373F5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lastRenderedPageBreak/>
        <w:t xml:space="preserve">Реализация возвращенных в период отсутствия электроснабжения и (или) сети Интернет товаров с нанесенными на них унифицированными контрольными знаками или средствами идентификации после восстановления электроснабжения и (или) доступа в Интернет осуществляется в общеустановленном порядке (с 01.07.2025 - с использованием кассового оборудования, обеспечивающего считывание и передачу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DataMatrix</w:t>
      </w:r>
      <w:proofErr w:type="spellEnd"/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, включающей в себя переменную информацию, в том числе серию и номер унифицированного контрольного знака).</w:t>
      </w:r>
    </w:p>
    <w:p w14:paraId="29B43C59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Обращаем внимание, что </w:t>
      </w: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BY"/>
        </w:rPr>
        <w:t>оборот товаров в соответствии с настоящим порядком может осуществляться только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  <w:lang w:eastAsia="ru-BY"/>
        </w:rPr>
        <w:t> в период отсутствия внешнего электроснабжения и (или) сети Интернет.</w:t>
      </w:r>
    </w:p>
    <w:p w14:paraId="1A2738AC" w14:textId="77777777" w:rsidR="00A224A7" w:rsidRDefault="00A224A7"/>
    <w:sectPr w:rsidR="00A224A7" w:rsidSect="00F44A21">
      <w:pgSz w:w="12240" w:h="15840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AC"/>
    <w:rsid w:val="00846BB7"/>
    <w:rsid w:val="009507AC"/>
    <w:rsid w:val="00A224A7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464"/>
  <w15:chartTrackingRefBased/>
  <w15:docId w15:val="{5F4D4770-4D24-4ABC-8850-54114AC4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Людмила Васильевна</dc:creator>
  <cp:keywords/>
  <dc:description/>
  <cp:lastModifiedBy>Василенко Людмила Васильевна</cp:lastModifiedBy>
  <cp:revision>2</cp:revision>
  <dcterms:created xsi:type="dcterms:W3CDTF">2025-11-20T04:44:00Z</dcterms:created>
  <dcterms:modified xsi:type="dcterms:W3CDTF">2025-11-20T04:49:00Z</dcterms:modified>
</cp:coreProperties>
</file>