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98B3" w14:textId="77777777" w:rsidR="00DE7917" w:rsidRDefault="00623D89" w:rsidP="001E09C1">
      <w:pPr>
        <w:spacing w:after="0"/>
        <w:ind w:firstLine="709"/>
        <w:jc w:val="center"/>
        <w:rPr>
          <w:rFonts w:cs="Times New Roman"/>
          <w:i/>
          <w:iCs/>
          <w:szCs w:val="28"/>
        </w:rPr>
      </w:pPr>
      <w:r w:rsidRPr="00DD7829">
        <w:rPr>
          <w:rFonts w:cs="Times New Roman"/>
          <w:szCs w:val="28"/>
        </w:rPr>
        <w:t xml:space="preserve">Предварительное информирование граждан </w:t>
      </w:r>
      <w:r w:rsidR="002535EA" w:rsidRPr="00DD7829">
        <w:rPr>
          <w:rFonts w:cs="Times New Roman"/>
          <w:szCs w:val="28"/>
        </w:rPr>
        <w:t xml:space="preserve">и юридических лиц </w:t>
      </w:r>
      <w:r w:rsidRPr="00DD7829">
        <w:rPr>
          <w:rFonts w:cs="Times New Roman"/>
          <w:szCs w:val="28"/>
        </w:rPr>
        <w:t>о проведении общественных обсуждени</w:t>
      </w:r>
      <w:r w:rsidR="003E3683" w:rsidRPr="00DD7829">
        <w:rPr>
          <w:rFonts w:cs="Times New Roman"/>
          <w:szCs w:val="28"/>
        </w:rPr>
        <w:t>й</w:t>
      </w:r>
      <w:r w:rsidRPr="00DD7829">
        <w:rPr>
          <w:rFonts w:cs="Times New Roman"/>
          <w:szCs w:val="28"/>
        </w:rPr>
        <w:t xml:space="preserve"> отчета об оценке воздействия на окружающую среду (ОВОС) по объекту: </w:t>
      </w:r>
      <w:r w:rsidR="004329EB" w:rsidRPr="00DD7829">
        <w:rPr>
          <w:rFonts w:cs="Times New Roman"/>
          <w:i/>
          <w:iCs/>
          <w:szCs w:val="28"/>
        </w:rPr>
        <w:t>«Техническая модернизация участка подготовки и сортировки стеклобоя ОАО «Гродненский стеклозавод» филиал «Елизово» по ул. Заводская, 1</w:t>
      </w:r>
    </w:p>
    <w:p w14:paraId="76601BAD" w14:textId="7E2BCF95" w:rsidR="00BE0237" w:rsidRPr="00DD7829" w:rsidRDefault="004329EB" w:rsidP="001E09C1">
      <w:pPr>
        <w:spacing w:after="0"/>
        <w:ind w:firstLine="709"/>
        <w:jc w:val="center"/>
        <w:rPr>
          <w:rFonts w:cs="Times New Roman"/>
          <w:szCs w:val="28"/>
        </w:rPr>
      </w:pPr>
      <w:r w:rsidRPr="00DD7829">
        <w:rPr>
          <w:rFonts w:cs="Times New Roman"/>
          <w:i/>
          <w:iCs/>
          <w:szCs w:val="28"/>
        </w:rPr>
        <w:t xml:space="preserve"> в </w:t>
      </w:r>
      <w:proofErr w:type="spellStart"/>
      <w:r w:rsidRPr="00DD7829">
        <w:rPr>
          <w:rFonts w:cs="Times New Roman"/>
          <w:i/>
          <w:iCs/>
          <w:szCs w:val="28"/>
        </w:rPr>
        <w:t>р.п</w:t>
      </w:r>
      <w:proofErr w:type="spellEnd"/>
      <w:r w:rsidRPr="00DD7829">
        <w:rPr>
          <w:rFonts w:cs="Times New Roman"/>
          <w:i/>
          <w:iCs/>
          <w:szCs w:val="28"/>
        </w:rPr>
        <w:t>. Елизово Осиповичского района Могилёвской области»</w:t>
      </w:r>
    </w:p>
    <w:p w14:paraId="6012AA11" w14:textId="77777777" w:rsidR="00B44C79" w:rsidRPr="00DD7829" w:rsidRDefault="00B44C79" w:rsidP="004329EB">
      <w:pPr>
        <w:pStyle w:val="11"/>
      </w:pPr>
    </w:p>
    <w:p w14:paraId="21B328E2" w14:textId="77777777" w:rsidR="004329EB" w:rsidRDefault="004329EB" w:rsidP="00DE7917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D7829">
        <w:rPr>
          <w:rFonts w:eastAsia="Times New Roman" w:cs="Times New Roman"/>
          <w:b/>
          <w:bCs/>
          <w:szCs w:val="28"/>
          <w:lang w:eastAsia="ru-RU"/>
        </w:rPr>
        <w:t>План-график работ по проведению ОВОС</w:t>
      </w:r>
    </w:p>
    <w:p w14:paraId="71C78F0C" w14:textId="77777777" w:rsidR="00DE7917" w:rsidRPr="00DE7917" w:rsidRDefault="00DE7917" w:rsidP="00DE7917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sz w:val="16"/>
          <w:szCs w:val="28"/>
          <w:lang w:eastAsia="ru-RU"/>
        </w:rPr>
      </w:pPr>
    </w:p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7"/>
        <w:gridCol w:w="3465"/>
      </w:tblGrid>
      <w:tr w:rsidR="004329EB" w:rsidRPr="00DD7829" w14:paraId="6E55AD0D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31A0" w14:textId="77777777" w:rsidR="004329EB" w:rsidRPr="00DD7829" w:rsidRDefault="004329EB" w:rsidP="00DE7917">
            <w:pPr>
              <w:spacing w:after="0"/>
              <w:ind w:right="-1"/>
              <w:rPr>
                <w:rFonts w:eastAsia="Calibri" w:cs="Times New Roman"/>
                <w:sz w:val="26"/>
                <w:szCs w:val="26"/>
              </w:rPr>
            </w:pPr>
            <w:bookmarkStart w:id="0" w:name="_Hlk183604794"/>
            <w:r w:rsidRPr="00DD7829">
              <w:rPr>
                <w:rFonts w:eastAsia="Calibri" w:cs="Times New Roman"/>
                <w:sz w:val="26"/>
                <w:szCs w:val="26"/>
              </w:rPr>
              <w:t>Подготовка программы проведения ОВОС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CAEC" w14:textId="77777777" w:rsidR="004329EB" w:rsidRPr="00DD7829" w:rsidRDefault="004329EB" w:rsidP="00DE7917">
            <w:pPr>
              <w:spacing w:after="0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Июнь 2025 г.</w:t>
            </w:r>
          </w:p>
        </w:tc>
      </w:tr>
      <w:tr w:rsidR="004329EB" w:rsidRPr="00DD7829" w14:paraId="1DC7D1F4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CCC86" w14:textId="77777777" w:rsidR="004329EB" w:rsidRPr="00DD7829" w:rsidRDefault="004329EB" w:rsidP="00DE7917">
            <w:pPr>
              <w:spacing w:after="0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13D0" w14:textId="77777777" w:rsidR="004329EB" w:rsidRPr="00DD7829" w:rsidRDefault="004329EB" w:rsidP="00DE7917">
            <w:pPr>
              <w:spacing w:after="0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Июнь 2025 г.</w:t>
            </w:r>
          </w:p>
        </w:tc>
      </w:tr>
      <w:tr w:rsidR="004329EB" w:rsidRPr="00DD7829" w14:paraId="3C6FBA09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4ABF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63158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Не требуется</w:t>
            </w:r>
          </w:p>
        </w:tc>
      </w:tr>
      <w:tr w:rsidR="004329EB" w:rsidRPr="00DD7829" w14:paraId="3252D7C8" w14:textId="77777777" w:rsidTr="00DE7917">
        <w:trPr>
          <w:trHeight w:val="812"/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C689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D3263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Не требуется</w:t>
            </w:r>
          </w:p>
        </w:tc>
      </w:tr>
      <w:tr w:rsidR="004329EB" w:rsidRPr="00DD7829" w14:paraId="5FB1F726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E900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Подготовка отчета об ОВОС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7A91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Июнь 2025 г.</w:t>
            </w:r>
          </w:p>
        </w:tc>
      </w:tr>
      <w:tr w:rsidR="004329EB" w:rsidRPr="00DD7829" w14:paraId="3BB76931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4AEA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Направление отчета об ОВОС затрагиваемым сторонам*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D23F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Не требуется</w:t>
            </w:r>
          </w:p>
        </w:tc>
      </w:tr>
      <w:tr w:rsidR="004329EB" w:rsidRPr="00DD7829" w14:paraId="78750ED7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6063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Проведение общественных обсуждений на территории: </w:t>
            </w:r>
          </w:p>
          <w:p w14:paraId="14BD5DE8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Республики Беларусь </w:t>
            </w:r>
          </w:p>
          <w:p w14:paraId="3FC839A4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затрагиваемых сторон*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106E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707B5394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Июнь-июль 2025 г.</w:t>
            </w:r>
          </w:p>
          <w:p w14:paraId="46424C47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Не требуется</w:t>
            </w:r>
          </w:p>
        </w:tc>
      </w:tr>
      <w:tr w:rsidR="004329EB" w:rsidRPr="00DD7829" w14:paraId="0A1BEE50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74026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Проведение консультации по замечаниям затрагиваемых сторон* 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B6F7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Не требуется</w:t>
            </w:r>
          </w:p>
        </w:tc>
      </w:tr>
      <w:tr w:rsidR="004329EB" w:rsidRPr="00DD7829" w14:paraId="4ED5C190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1899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Проведение собрания по обсуждению отчета об ОВОС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A5DC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Июль 2025 г. </w:t>
            </w:r>
            <w:r w:rsidRPr="00DD7829">
              <w:rPr>
                <w:rFonts w:eastAsia="Calibri" w:cs="Times New Roman"/>
                <w:sz w:val="26"/>
                <w:szCs w:val="26"/>
              </w:rPr>
              <w:br/>
              <w:t>(при необходимости)</w:t>
            </w:r>
          </w:p>
        </w:tc>
      </w:tr>
      <w:tr w:rsidR="004329EB" w:rsidRPr="00DD7829" w14:paraId="56765E3D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8694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Доработка отчета об ОВОС по замечаниям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D0BB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Июль 2025 г. </w:t>
            </w:r>
            <w:r w:rsidRPr="00DD7829">
              <w:rPr>
                <w:rFonts w:eastAsia="Calibri" w:cs="Times New Roman"/>
                <w:sz w:val="26"/>
                <w:szCs w:val="26"/>
              </w:rPr>
              <w:br/>
              <w:t>(при необходимости)</w:t>
            </w:r>
          </w:p>
        </w:tc>
      </w:tr>
      <w:tr w:rsidR="004329EB" w:rsidRPr="00DD7829" w14:paraId="7240CB04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2EDE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B2EC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Июль-август 2025 г. </w:t>
            </w:r>
          </w:p>
        </w:tc>
      </w:tr>
      <w:tr w:rsidR="004329EB" w:rsidRPr="00DD7829" w14:paraId="311E0E4F" w14:textId="77777777" w:rsidTr="00DE7917">
        <w:trPr>
          <w:jc w:val="center"/>
        </w:trPr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5D00" w14:textId="77777777" w:rsidR="004329EB" w:rsidRPr="00DD7829" w:rsidRDefault="004329EB" w:rsidP="004329EB">
            <w:pPr>
              <w:spacing w:after="0" w:line="256" w:lineRule="auto"/>
              <w:ind w:right="-1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>Принятие решения в отношении планируемой деятельности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AF46" w14:textId="77777777" w:rsidR="004329EB" w:rsidRPr="00DD7829" w:rsidRDefault="004329EB" w:rsidP="004329EB">
            <w:pPr>
              <w:spacing w:after="0" w:line="256" w:lineRule="auto"/>
              <w:ind w:right="-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D7829">
              <w:rPr>
                <w:rFonts w:eastAsia="Calibri" w:cs="Times New Roman"/>
                <w:sz w:val="26"/>
                <w:szCs w:val="26"/>
              </w:rPr>
              <w:t xml:space="preserve">Август-сентябрь 2025 г. </w:t>
            </w:r>
          </w:p>
        </w:tc>
      </w:tr>
      <w:bookmarkEnd w:id="0"/>
    </w:tbl>
    <w:p w14:paraId="6917CC88" w14:textId="77777777" w:rsidR="004329EB" w:rsidRPr="00DD7829" w:rsidRDefault="004329EB" w:rsidP="004329EB">
      <w:pPr>
        <w:shd w:val="clear" w:color="auto" w:fill="FFFFFF"/>
        <w:spacing w:after="0" w:line="360" w:lineRule="atLeast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510E6375" w14:textId="77777777" w:rsidR="004329EB" w:rsidRPr="00DD7829" w:rsidRDefault="004329EB" w:rsidP="004329EB">
      <w:pPr>
        <w:spacing w:after="0"/>
        <w:ind w:left="284" w:right="-1" w:firstLine="567"/>
        <w:jc w:val="both"/>
        <w:rPr>
          <w:rFonts w:eastAsia="Times New Roman" w:cs="Times New Roman"/>
          <w:szCs w:val="24"/>
        </w:rPr>
      </w:pPr>
      <w:r w:rsidRPr="00DD7829">
        <w:rPr>
          <w:rFonts w:eastAsia="Times New Roman" w:cs="Times New Roman"/>
          <w:szCs w:val="24"/>
        </w:rPr>
        <w:t>* – заполняется в случае, если планируемая хозяйственная и иная деятельность может оказывать трансграничное воздействие</w:t>
      </w:r>
    </w:p>
    <w:p w14:paraId="300A687B" w14:textId="77777777" w:rsidR="004329EB" w:rsidRPr="00DD7829" w:rsidRDefault="004329EB" w:rsidP="004329EB">
      <w:pPr>
        <w:spacing w:after="0"/>
        <w:ind w:left="284" w:right="-1" w:firstLine="567"/>
        <w:jc w:val="both"/>
        <w:rPr>
          <w:rFonts w:eastAsia="Times New Roman" w:cs="Times New Roman"/>
          <w:szCs w:val="24"/>
        </w:rPr>
      </w:pPr>
      <w:r w:rsidRPr="00DD7829">
        <w:rPr>
          <w:rFonts w:eastAsia="Times New Roman" w:cs="Times New Roman"/>
          <w:szCs w:val="24"/>
        </w:rPr>
        <w:t>Указанные сроки проведения процедуры ОВОС могут корректироваться (в рамках сроков, регламентированных НПА).</w:t>
      </w:r>
    </w:p>
    <w:p w14:paraId="6C43C3AE" w14:textId="77777777" w:rsidR="004329EB" w:rsidRPr="00DD7829" w:rsidRDefault="004329EB" w:rsidP="004329EB">
      <w:pPr>
        <w:pStyle w:val="11"/>
      </w:pPr>
    </w:p>
    <w:p w14:paraId="38FE8F73" w14:textId="77777777" w:rsidR="004329EB" w:rsidRPr="00DD7829" w:rsidRDefault="004329EB" w:rsidP="004329EB">
      <w:pPr>
        <w:suppressAutoHyphens/>
        <w:spacing w:after="0"/>
        <w:ind w:left="294" w:firstLine="560"/>
        <w:jc w:val="both"/>
        <w:rPr>
          <w:rFonts w:eastAsia="Times New Roman" w:cs="Times New Roman"/>
          <w:b/>
          <w:szCs w:val="28"/>
          <w:lang w:eastAsia="ru-RU"/>
        </w:rPr>
      </w:pPr>
      <w:r w:rsidRPr="00DD7829">
        <w:rPr>
          <w:rFonts w:eastAsia="Times New Roman" w:cs="Times New Roman"/>
          <w:b/>
          <w:szCs w:val="28"/>
          <w:lang w:eastAsia="ru-RU"/>
        </w:rPr>
        <w:t>Сведения о планируемой деятельности и альтернативных вариантах размещения объекта</w:t>
      </w:r>
    </w:p>
    <w:p w14:paraId="18D1F85C" w14:textId="77777777" w:rsidR="004329EB" w:rsidRPr="00DD7829" w:rsidRDefault="004329EB" w:rsidP="004329EB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  <w:bookmarkStart w:id="1" w:name="_Hlk183605773"/>
      <w:r w:rsidRPr="00DD7829">
        <w:rPr>
          <w:rFonts w:eastAsia="Times New Roman" w:cs="Times New Roman"/>
          <w:b/>
          <w:i/>
          <w:szCs w:val="24"/>
          <w:u w:val="single"/>
        </w:rPr>
        <w:t>Заказчик проектной документации</w:t>
      </w:r>
      <w:r w:rsidRPr="00DD7829">
        <w:rPr>
          <w:rFonts w:eastAsia="Times New Roman" w:cs="Times New Roman"/>
          <w:szCs w:val="24"/>
        </w:rPr>
        <w:t xml:space="preserve"> – Открытое акционерное общество «Гродненский стеклозавод» филиал «Елизово».</w:t>
      </w:r>
    </w:p>
    <w:p w14:paraId="4A31A322" w14:textId="61312EC7" w:rsidR="004329EB" w:rsidRPr="00546661" w:rsidRDefault="004329EB" w:rsidP="004329EB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  <w:r w:rsidRPr="00DD7829">
        <w:rPr>
          <w:rFonts w:eastAsia="Times New Roman" w:cs="Times New Roman"/>
          <w:szCs w:val="24"/>
        </w:rPr>
        <w:t xml:space="preserve">Юридический/почтовый адрес: 213730, Могилёвская обл., Осиповичский р-н, п. Елизово, ул. </w:t>
      </w:r>
      <w:r w:rsidRPr="00546661">
        <w:rPr>
          <w:rFonts w:eastAsia="Times New Roman" w:cs="Times New Roman"/>
          <w:szCs w:val="24"/>
        </w:rPr>
        <w:t>Калинина, 6, к</w:t>
      </w:r>
      <w:r w:rsidR="00F46ABF" w:rsidRPr="00546661">
        <w:rPr>
          <w:rFonts w:eastAsia="Times New Roman" w:cs="Times New Roman"/>
          <w:szCs w:val="24"/>
        </w:rPr>
        <w:t>.</w:t>
      </w:r>
      <w:r w:rsidRPr="00546661">
        <w:rPr>
          <w:rFonts w:eastAsia="Times New Roman" w:cs="Times New Roman"/>
          <w:szCs w:val="24"/>
        </w:rPr>
        <w:t xml:space="preserve"> 2. </w:t>
      </w:r>
    </w:p>
    <w:p w14:paraId="6D4C34A7" w14:textId="77777777" w:rsidR="004329EB" w:rsidRPr="00546661" w:rsidRDefault="004329EB" w:rsidP="004329EB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  <w:r w:rsidRPr="00546661">
        <w:rPr>
          <w:rFonts w:eastAsia="Times New Roman" w:cs="Times New Roman"/>
          <w:szCs w:val="24"/>
          <w:lang w:val="en-US"/>
        </w:rPr>
        <w:t>E</w:t>
      </w:r>
      <w:r w:rsidRPr="00546661">
        <w:rPr>
          <w:rFonts w:eastAsia="Times New Roman" w:cs="Times New Roman"/>
          <w:szCs w:val="24"/>
        </w:rPr>
        <w:t>-</w:t>
      </w:r>
      <w:r w:rsidRPr="00546661">
        <w:rPr>
          <w:rFonts w:eastAsia="Times New Roman" w:cs="Times New Roman"/>
          <w:szCs w:val="24"/>
          <w:lang w:val="en-US"/>
        </w:rPr>
        <w:t>mail</w:t>
      </w:r>
      <w:r w:rsidRPr="00546661">
        <w:rPr>
          <w:rFonts w:eastAsia="Times New Roman" w:cs="Times New Roman"/>
          <w:szCs w:val="24"/>
        </w:rPr>
        <w:t xml:space="preserve">: </w:t>
      </w:r>
      <w:proofErr w:type="spellStart"/>
      <w:r w:rsidRPr="00546661">
        <w:rPr>
          <w:rFonts w:eastAsia="Times New Roman" w:cs="Times New Roman"/>
          <w:szCs w:val="24"/>
          <w:lang w:val="en-US"/>
        </w:rPr>
        <w:t>elizovo</w:t>
      </w:r>
      <w:proofErr w:type="spellEnd"/>
      <w:r w:rsidRPr="00546661">
        <w:rPr>
          <w:rFonts w:eastAsia="Times New Roman" w:cs="Times New Roman"/>
          <w:szCs w:val="24"/>
        </w:rPr>
        <w:t>@</w:t>
      </w:r>
      <w:proofErr w:type="spellStart"/>
      <w:r w:rsidRPr="00546661">
        <w:rPr>
          <w:rFonts w:eastAsia="Times New Roman" w:cs="Times New Roman"/>
          <w:szCs w:val="24"/>
          <w:lang w:val="en-US"/>
        </w:rPr>
        <w:t>grodnoglass</w:t>
      </w:r>
      <w:proofErr w:type="spellEnd"/>
      <w:r w:rsidRPr="00546661">
        <w:rPr>
          <w:rFonts w:eastAsia="Times New Roman" w:cs="Times New Roman"/>
          <w:szCs w:val="24"/>
        </w:rPr>
        <w:t>.</w:t>
      </w:r>
      <w:r w:rsidRPr="00546661">
        <w:rPr>
          <w:rFonts w:eastAsia="Times New Roman" w:cs="Times New Roman"/>
          <w:szCs w:val="24"/>
          <w:lang w:val="en-US"/>
        </w:rPr>
        <w:t>by</w:t>
      </w:r>
    </w:p>
    <w:p w14:paraId="1F8CDAB0" w14:textId="77777777" w:rsidR="004329EB" w:rsidRPr="00546661" w:rsidRDefault="004329EB" w:rsidP="004329EB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  <w:r w:rsidRPr="00546661">
        <w:rPr>
          <w:rFonts w:eastAsia="Times New Roman" w:cs="Times New Roman"/>
          <w:szCs w:val="24"/>
        </w:rPr>
        <w:t>Тел./факс: +375</w:t>
      </w:r>
      <w:r w:rsidRPr="00546661">
        <w:rPr>
          <w:rFonts w:eastAsia="Times New Roman" w:cs="Times New Roman"/>
          <w:szCs w:val="24"/>
          <w:lang w:val="en-US"/>
        </w:rPr>
        <w:t> </w:t>
      </w:r>
      <w:r w:rsidRPr="00546661">
        <w:rPr>
          <w:rFonts w:eastAsia="Times New Roman" w:cs="Times New Roman"/>
          <w:szCs w:val="24"/>
        </w:rPr>
        <w:t>223 55 18 40</w:t>
      </w:r>
    </w:p>
    <w:bookmarkEnd w:id="1"/>
    <w:p w14:paraId="4A7EF9E3" w14:textId="77777777" w:rsidR="00535D63" w:rsidRPr="00546661" w:rsidRDefault="00535D63" w:rsidP="002E32E1">
      <w:pPr>
        <w:pStyle w:val="11"/>
        <w:ind w:right="-1"/>
        <w:rPr>
          <w:szCs w:val="28"/>
        </w:rPr>
      </w:pPr>
    </w:p>
    <w:p w14:paraId="6EC2E9F8" w14:textId="77777777" w:rsidR="004329EB" w:rsidRPr="00546661" w:rsidRDefault="004329EB" w:rsidP="00406121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  <w:bookmarkStart w:id="2" w:name="_Hlk183605882"/>
    </w:p>
    <w:p w14:paraId="6989E094" w14:textId="77777777" w:rsidR="004329EB" w:rsidRPr="00546661" w:rsidRDefault="004329EB" w:rsidP="004329EB">
      <w:pPr>
        <w:spacing w:after="0"/>
        <w:ind w:right="-143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46661">
        <w:rPr>
          <w:rFonts w:eastAsia="Times New Roman" w:cs="Times New Roman"/>
          <w:color w:val="000000"/>
          <w:szCs w:val="28"/>
          <w:lang w:eastAsia="ru-RU"/>
        </w:rPr>
        <w:t>Проектом предусматривается техническая модернизация существующего участка подготовки и сортировки стеклобоя, включающая:</w:t>
      </w:r>
    </w:p>
    <w:p w14:paraId="1D5329D9" w14:textId="77777777" w:rsidR="00CC50BA" w:rsidRPr="00546661" w:rsidRDefault="00CC50BA" w:rsidP="00CC50BA">
      <w:pPr>
        <w:numPr>
          <w:ilvl w:val="0"/>
          <w:numId w:val="7"/>
        </w:numPr>
        <w:spacing w:after="0"/>
        <w:ind w:right="-143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46661">
        <w:rPr>
          <w:rFonts w:eastAsia="Times New Roman" w:cs="Times New Roman"/>
          <w:color w:val="000000"/>
          <w:szCs w:val="28"/>
          <w:lang w:eastAsia="ru-RU"/>
        </w:rPr>
        <w:t>замену циклона ЦН15-500х4 в системе аспирации ВТ1 на возвратно-поточный циклон ЦГ 590х2 с защитным покрытием, устойчивым к абразивному воздействию стеклянной пыли, что позволит снизить частоту ремонтных работ;</w:t>
      </w:r>
    </w:p>
    <w:p w14:paraId="1A793630" w14:textId="5F2408AB" w:rsidR="00CC50BA" w:rsidRPr="00DD7829" w:rsidRDefault="00CC50BA" w:rsidP="00CC50BA">
      <w:pPr>
        <w:numPr>
          <w:ilvl w:val="0"/>
          <w:numId w:val="7"/>
        </w:numPr>
        <w:spacing w:after="0"/>
        <w:ind w:right="-143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46661">
        <w:rPr>
          <w:rFonts w:eastAsia="Times New Roman" w:cs="Times New Roman"/>
          <w:color w:val="000000"/>
          <w:szCs w:val="28"/>
          <w:lang w:eastAsia="ru-RU"/>
        </w:rPr>
        <w:t>увеличение мощности вентилятора системы аспирации ВТ2 с 3600-5000 м³/ч до 5100-10800 м³/ч для исключения отложений пыли в воздуховодах, что снизит</w:t>
      </w:r>
      <w:r w:rsidRPr="00DD7829">
        <w:rPr>
          <w:rFonts w:eastAsia="Times New Roman" w:cs="Times New Roman"/>
          <w:color w:val="000000"/>
          <w:szCs w:val="28"/>
          <w:lang w:eastAsia="ru-RU"/>
        </w:rPr>
        <w:t xml:space="preserve"> частоту ремонтных работ и остановок оборудования;</w:t>
      </w:r>
    </w:p>
    <w:p w14:paraId="37208670" w14:textId="186ED302" w:rsidR="00CC50BA" w:rsidRPr="00DD7829" w:rsidRDefault="00CC50BA" w:rsidP="00CC50BA">
      <w:pPr>
        <w:numPr>
          <w:ilvl w:val="0"/>
          <w:numId w:val="7"/>
        </w:numPr>
        <w:spacing w:after="0"/>
        <w:ind w:right="-143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D7829">
        <w:rPr>
          <w:rFonts w:eastAsia="Times New Roman" w:cs="Times New Roman"/>
          <w:color w:val="000000"/>
          <w:szCs w:val="28"/>
          <w:lang w:eastAsia="ru-RU"/>
        </w:rPr>
        <w:t xml:space="preserve">замену газогорелочного устройства сушильного барабана на более мощную горелку ГГБ-1,14-ЦМ-40 (1,14 МВт) для обеспечения полноценной сушки стеклобоя. </w:t>
      </w:r>
    </w:p>
    <w:p w14:paraId="233C3556" w14:textId="5FD869FD" w:rsidR="004329EB" w:rsidRPr="00DD7829" w:rsidRDefault="004329EB" w:rsidP="004329EB">
      <w:pPr>
        <w:spacing w:after="0"/>
        <w:ind w:right="-143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D7829">
        <w:rPr>
          <w:rFonts w:eastAsia="Times New Roman" w:cs="Times New Roman"/>
          <w:color w:val="000000"/>
          <w:szCs w:val="28"/>
          <w:lang w:eastAsia="ru-RU"/>
        </w:rPr>
        <w:t xml:space="preserve">В настоящее время участок подготовки и сортировки стеклобоя функционирует в составе действующего промышленного предприятия ОАО «Гродненский стеклозавод» филиал «Елизово», расположенного в рабочем поселке Елизово. </w:t>
      </w:r>
    </w:p>
    <w:p w14:paraId="57D6F504" w14:textId="77777777" w:rsidR="004329EB" w:rsidRPr="00DD7829" w:rsidRDefault="004329EB" w:rsidP="004329EB">
      <w:pPr>
        <w:spacing w:after="0"/>
        <w:ind w:right="-143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D7829">
        <w:rPr>
          <w:rFonts w:eastAsia="Times New Roman" w:cs="Times New Roman"/>
          <w:color w:val="000000"/>
          <w:szCs w:val="28"/>
          <w:lang w:eastAsia="ru-RU"/>
        </w:rPr>
        <w:t>Целью реализации проекта является повышение надежности и эффективности работы систем аспирации, предотвращение аварийных остановок оборудования из-за износа и обеспечение стабильного технологического процесса подготовки стеклобоя для производства стеклянной тары.</w:t>
      </w:r>
    </w:p>
    <w:p w14:paraId="6C826CF2" w14:textId="77777777" w:rsidR="004329EB" w:rsidRPr="004329EB" w:rsidRDefault="004329EB" w:rsidP="004329EB">
      <w:pPr>
        <w:spacing w:after="0"/>
        <w:ind w:right="-143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D7829">
        <w:rPr>
          <w:rFonts w:eastAsia="Times New Roman" w:cs="Times New Roman"/>
          <w:color w:val="000000"/>
          <w:szCs w:val="28"/>
          <w:lang w:eastAsia="ru-RU"/>
        </w:rPr>
        <w:t>Альтернативные варианты размещения планируемой деятельности не рассматривались, поскольку модернизация осуществляется в пределах существующего производственного здания на действующем промышленном предприятии. В качестве альтернативы рассматривалась «нулевая альтернатива» - отказ от модернизации, что привело бы к сохранению существующих проблем с надежностью оборудования.</w:t>
      </w:r>
    </w:p>
    <w:p w14:paraId="21D7F127" w14:textId="77777777" w:rsidR="004329EB" w:rsidRDefault="004329EB" w:rsidP="00406121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</w:p>
    <w:p w14:paraId="02B7C431" w14:textId="77777777" w:rsidR="004329EB" w:rsidRDefault="004329EB" w:rsidP="00406121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</w:p>
    <w:p w14:paraId="74579FF7" w14:textId="77777777" w:rsidR="004329EB" w:rsidRDefault="004329EB" w:rsidP="00406121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</w:p>
    <w:p w14:paraId="11F13CAD" w14:textId="77777777" w:rsidR="004329EB" w:rsidRDefault="004329EB" w:rsidP="00406121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</w:p>
    <w:p w14:paraId="298C8732" w14:textId="77777777" w:rsidR="004329EB" w:rsidRDefault="004329EB" w:rsidP="00406121">
      <w:pPr>
        <w:spacing w:after="0"/>
        <w:ind w:left="284" w:right="284" w:firstLine="567"/>
        <w:jc w:val="both"/>
        <w:rPr>
          <w:rFonts w:eastAsia="Times New Roman" w:cs="Times New Roman"/>
          <w:szCs w:val="24"/>
        </w:rPr>
      </w:pPr>
    </w:p>
    <w:bookmarkEnd w:id="2"/>
    <w:p w14:paraId="016068EF" w14:textId="77777777" w:rsidR="00995625" w:rsidRDefault="00995625" w:rsidP="00535D63">
      <w:pPr>
        <w:pStyle w:val="11"/>
        <w:ind w:right="-1"/>
        <w:rPr>
          <w:szCs w:val="28"/>
        </w:rPr>
      </w:pPr>
    </w:p>
    <w:p w14:paraId="6AA65C42" w14:textId="77777777" w:rsidR="00995625" w:rsidRDefault="00995625" w:rsidP="006B4170">
      <w:pPr>
        <w:spacing w:after="0"/>
        <w:ind w:left="-567" w:right="-515" w:firstLine="708"/>
        <w:jc w:val="both"/>
        <w:rPr>
          <w:szCs w:val="28"/>
        </w:rPr>
      </w:pPr>
    </w:p>
    <w:p w14:paraId="0B2E3C1A" w14:textId="77777777" w:rsidR="00F12C76" w:rsidRDefault="00F12C76" w:rsidP="006B4170">
      <w:pPr>
        <w:spacing w:after="0"/>
        <w:ind w:left="-567" w:firstLine="709"/>
        <w:jc w:val="both"/>
      </w:pPr>
    </w:p>
    <w:sectPr w:rsidR="00F12C76" w:rsidSect="00B44C79">
      <w:pgSz w:w="11906" w:h="16838" w:code="9"/>
      <w:pgMar w:top="709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5253D"/>
    <w:multiLevelType w:val="multilevel"/>
    <w:tmpl w:val="84A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4044F6"/>
    <w:multiLevelType w:val="multilevel"/>
    <w:tmpl w:val="8D5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4B0"/>
    <w:rsid w:val="00002EC0"/>
    <w:rsid w:val="00015B0A"/>
    <w:rsid w:val="0001768C"/>
    <w:rsid w:val="000211BE"/>
    <w:rsid w:val="00036B6B"/>
    <w:rsid w:val="00041A83"/>
    <w:rsid w:val="000712A1"/>
    <w:rsid w:val="000A734E"/>
    <w:rsid w:val="000D73E4"/>
    <w:rsid w:val="00112E15"/>
    <w:rsid w:val="00125369"/>
    <w:rsid w:val="00126B02"/>
    <w:rsid w:val="00130BD2"/>
    <w:rsid w:val="00152533"/>
    <w:rsid w:val="001934C2"/>
    <w:rsid w:val="001A2F7F"/>
    <w:rsid w:val="001A61DB"/>
    <w:rsid w:val="001B7302"/>
    <w:rsid w:val="001C0BF0"/>
    <w:rsid w:val="001D248D"/>
    <w:rsid w:val="001D4772"/>
    <w:rsid w:val="001D7860"/>
    <w:rsid w:val="001E09C1"/>
    <w:rsid w:val="001F0E98"/>
    <w:rsid w:val="001F65A4"/>
    <w:rsid w:val="001F7E5B"/>
    <w:rsid w:val="002061B1"/>
    <w:rsid w:val="00212A2F"/>
    <w:rsid w:val="00213C04"/>
    <w:rsid w:val="002178B6"/>
    <w:rsid w:val="00236B9C"/>
    <w:rsid w:val="002535EA"/>
    <w:rsid w:val="002538EA"/>
    <w:rsid w:val="00273325"/>
    <w:rsid w:val="002750DC"/>
    <w:rsid w:val="002B0602"/>
    <w:rsid w:val="002C2D4D"/>
    <w:rsid w:val="002D19FA"/>
    <w:rsid w:val="002E32E1"/>
    <w:rsid w:val="002F1DDC"/>
    <w:rsid w:val="002F5BE8"/>
    <w:rsid w:val="00310D12"/>
    <w:rsid w:val="003127A1"/>
    <w:rsid w:val="00341388"/>
    <w:rsid w:val="0036399A"/>
    <w:rsid w:val="0038712E"/>
    <w:rsid w:val="003D46BC"/>
    <w:rsid w:val="003D5311"/>
    <w:rsid w:val="003E3683"/>
    <w:rsid w:val="00404C81"/>
    <w:rsid w:val="00406121"/>
    <w:rsid w:val="004172AF"/>
    <w:rsid w:val="004329EB"/>
    <w:rsid w:val="00470D2B"/>
    <w:rsid w:val="00472A59"/>
    <w:rsid w:val="00491252"/>
    <w:rsid w:val="004A50DF"/>
    <w:rsid w:val="004A52C5"/>
    <w:rsid w:val="004B6CE5"/>
    <w:rsid w:val="004B7442"/>
    <w:rsid w:val="005119B4"/>
    <w:rsid w:val="0051657F"/>
    <w:rsid w:val="00535D63"/>
    <w:rsid w:val="00546136"/>
    <w:rsid w:val="00546661"/>
    <w:rsid w:val="00580B9A"/>
    <w:rsid w:val="00582357"/>
    <w:rsid w:val="005A3AC2"/>
    <w:rsid w:val="005C27AF"/>
    <w:rsid w:val="005C4387"/>
    <w:rsid w:val="005D43F4"/>
    <w:rsid w:val="005D5158"/>
    <w:rsid w:val="005E05B7"/>
    <w:rsid w:val="00623D89"/>
    <w:rsid w:val="006606F1"/>
    <w:rsid w:val="00662C55"/>
    <w:rsid w:val="006631EA"/>
    <w:rsid w:val="00663970"/>
    <w:rsid w:val="006670DF"/>
    <w:rsid w:val="006801F7"/>
    <w:rsid w:val="006B4170"/>
    <w:rsid w:val="006B73B5"/>
    <w:rsid w:val="006C0B77"/>
    <w:rsid w:val="006C54B0"/>
    <w:rsid w:val="006C5BD7"/>
    <w:rsid w:val="006C7425"/>
    <w:rsid w:val="006F08D3"/>
    <w:rsid w:val="006F6EC3"/>
    <w:rsid w:val="007067A4"/>
    <w:rsid w:val="00724FD4"/>
    <w:rsid w:val="007604FC"/>
    <w:rsid w:val="007756ED"/>
    <w:rsid w:val="0079044B"/>
    <w:rsid w:val="00796965"/>
    <w:rsid w:val="007C0D4D"/>
    <w:rsid w:val="007C386F"/>
    <w:rsid w:val="007C7E9A"/>
    <w:rsid w:val="007D3397"/>
    <w:rsid w:val="007E3BD5"/>
    <w:rsid w:val="007E3CE6"/>
    <w:rsid w:val="007E5FCF"/>
    <w:rsid w:val="00806130"/>
    <w:rsid w:val="008242FF"/>
    <w:rsid w:val="00837CF3"/>
    <w:rsid w:val="0086797C"/>
    <w:rsid w:val="00870751"/>
    <w:rsid w:val="008C79B5"/>
    <w:rsid w:val="008E6C20"/>
    <w:rsid w:val="00902324"/>
    <w:rsid w:val="0090718F"/>
    <w:rsid w:val="00922C48"/>
    <w:rsid w:val="00944C5D"/>
    <w:rsid w:val="00944EF3"/>
    <w:rsid w:val="00945118"/>
    <w:rsid w:val="00947DC3"/>
    <w:rsid w:val="00974FD0"/>
    <w:rsid w:val="00976F57"/>
    <w:rsid w:val="00995625"/>
    <w:rsid w:val="009D62F1"/>
    <w:rsid w:val="00A040A9"/>
    <w:rsid w:val="00A06FD3"/>
    <w:rsid w:val="00A365BF"/>
    <w:rsid w:val="00A46010"/>
    <w:rsid w:val="00A6603C"/>
    <w:rsid w:val="00A73C06"/>
    <w:rsid w:val="00A77952"/>
    <w:rsid w:val="00A971BC"/>
    <w:rsid w:val="00A9728B"/>
    <w:rsid w:val="00AC6036"/>
    <w:rsid w:val="00AF06C9"/>
    <w:rsid w:val="00AF41D4"/>
    <w:rsid w:val="00B06682"/>
    <w:rsid w:val="00B06FE3"/>
    <w:rsid w:val="00B2625A"/>
    <w:rsid w:val="00B33B84"/>
    <w:rsid w:val="00B44C79"/>
    <w:rsid w:val="00B55318"/>
    <w:rsid w:val="00B7093A"/>
    <w:rsid w:val="00B73367"/>
    <w:rsid w:val="00B76B3E"/>
    <w:rsid w:val="00B915B7"/>
    <w:rsid w:val="00B9571E"/>
    <w:rsid w:val="00BA1CBD"/>
    <w:rsid w:val="00BB29E2"/>
    <w:rsid w:val="00BD100C"/>
    <w:rsid w:val="00BE0237"/>
    <w:rsid w:val="00BF5B26"/>
    <w:rsid w:val="00C2609B"/>
    <w:rsid w:val="00C307F1"/>
    <w:rsid w:val="00C4191E"/>
    <w:rsid w:val="00C4659A"/>
    <w:rsid w:val="00C643C5"/>
    <w:rsid w:val="00C9208C"/>
    <w:rsid w:val="00C92866"/>
    <w:rsid w:val="00C9424D"/>
    <w:rsid w:val="00C94697"/>
    <w:rsid w:val="00CA047C"/>
    <w:rsid w:val="00CB111A"/>
    <w:rsid w:val="00CC50BA"/>
    <w:rsid w:val="00CD102F"/>
    <w:rsid w:val="00CD59EF"/>
    <w:rsid w:val="00CE2C4A"/>
    <w:rsid w:val="00CE781B"/>
    <w:rsid w:val="00CF6B55"/>
    <w:rsid w:val="00D14163"/>
    <w:rsid w:val="00D21557"/>
    <w:rsid w:val="00D66B9F"/>
    <w:rsid w:val="00D9353E"/>
    <w:rsid w:val="00DD7829"/>
    <w:rsid w:val="00DD7C3F"/>
    <w:rsid w:val="00DE69F9"/>
    <w:rsid w:val="00DE7107"/>
    <w:rsid w:val="00DE7917"/>
    <w:rsid w:val="00DF0294"/>
    <w:rsid w:val="00E060A0"/>
    <w:rsid w:val="00E06BD0"/>
    <w:rsid w:val="00E2077C"/>
    <w:rsid w:val="00E20A55"/>
    <w:rsid w:val="00E24098"/>
    <w:rsid w:val="00E321E7"/>
    <w:rsid w:val="00E81505"/>
    <w:rsid w:val="00E866D0"/>
    <w:rsid w:val="00EA59DF"/>
    <w:rsid w:val="00EB6310"/>
    <w:rsid w:val="00EB7FB3"/>
    <w:rsid w:val="00EC0A29"/>
    <w:rsid w:val="00ED6053"/>
    <w:rsid w:val="00EE4070"/>
    <w:rsid w:val="00EF4215"/>
    <w:rsid w:val="00EF68BC"/>
    <w:rsid w:val="00F12C76"/>
    <w:rsid w:val="00F174F4"/>
    <w:rsid w:val="00F3093B"/>
    <w:rsid w:val="00F34844"/>
    <w:rsid w:val="00F46ABF"/>
    <w:rsid w:val="00F77045"/>
    <w:rsid w:val="00F81AE1"/>
    <w:rsid w:val="00FA7250"/>
    <w:rsid w:val="00FC6795"/>
    <w:rsid w:val="00FE2AF8"/>
    <w:rsid w:val="00FE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882"/>
  <w15:docId w15:val="{C5D7073C-3E9C-4BB9-BBA9-2E47D11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B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52C5"/>
    <w:rPr>
      <w:b/>
      <w:bCs/>
    </w:rPr>
  </w:style>
  <w:style w:type="character" w:styleId="ab">
    <w:name w:val="Hyperlink"/>
    <w:uiPriority w:val="99"/>
    <w:unhideWhenUsed/>
    <w:rsid w:val="004A52C5"/>
    <w:rPr>
      <w:color w:val="0000FF"/>
      <w:u w:val="single"/>
    </w:rPr>
  </w:style>
  <w:style w:type="paragraph" w:customStyle="1" w:styleId="11">
    <w:name w:val="1 Текст Мой"/>
    <w:link w:val="12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1 Текст Мой Знак"/>
    <w:basedOn w:val="a0"/>
    <w:link w:val="11"/>
    <w:rsid w:val="002750DC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0A5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0A55"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35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A265-7785-491C-ACC7-6186BDA7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Admin</cp:lastModifiedBy>
  <cp:revision>12</cp:revision>
  <cp:lastPrinted>2025-04-10T11:44:00Z</cp:lastPrinted>
  <dcterms:created xsi:type="dcterms:W3CDTF">2024-11-29T11:34:00Z</dcterms:created>
  <dcterms:modified xsi:type="dcterms:W3CDTF">2025-06-17T08:17:00Z</dcterms:modified>
</cp:coreProperties>
</file>